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  <w:t>1</w:t>
      </w:r>
    </w:p>
    <w:p>
      <w:pPr>
        <w:spacing w:line="620" w:lineRule="exact"/>
        <w:jc w:val="center"/>
        <w:rPr>
          <w:rFonts w:eastAsia="黑体"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000000"/>
          <w:sz w:val="44"/>
          <w:szCs w:val="44"/>
        </w:rPr>
        <w:t>高台县政务公开负面清单（共性部分）</w:t>
      </w:r>
    </w:p>
    <w:tbl>
      <w:tblPr>
        <w:tblStyle w:val="3"/>
        <w:tblW w:w="88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1753"/>
        <w:gridCol w:w="313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信息事项类别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信息事项内容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不予主动公开法律政策依据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人事工作中不予主动公开的信息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人事、机构编制、职位职称工作的计划、方案和政策以及相关的统计资料及报表</w:t>
            </w:r>
          </w:p>
        </w:tc>
        <w:tc>
          <w:tcPr>
            <w:tcW w:w="3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《干部档案工作条例》《人事工作中国家秘密及其密级具体范围的规定》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军官转业安置政策和分配计划</w:t>
            </w: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干部任免考察材料</w:t>
            </w: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干部的档案及汇总名册</w:t>
            </w: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2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录用干部的计划、方案，录用干部考试的试题、试卷、备份卷和答案</w:t>
            </w: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人事处分决定</w:t>
            </w: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涉外活动中需要保密的事项</w:t>
            </w:r>
          </w:p>
        </w:tc>
        <w:tc>
          <w:tcPr>
            <w:tcW w:w="3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2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财务工作中不予主动公开的信息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包括尚未公布的工资</w:t>
            </w:r>
            <w:r>
              <w:rPr>
                <w:rFonts w:ascii="宋体" w:hAnsi="宋体" w:cs="仿宋_GB2312"/>
                <w:color w:val="000000"/>
                <w:szCs w:val="21"/>
              </w:rPr>
              <w:t>(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含津贴、补贴</w:t>
            </w:r>
            <w:r>
              <w:rPr>
                <w:rFonts w:ascii="宋体" w:hAnsi="宋体" w:cs="仿宋_GB2312"/>
                <w:color w:val="000000"/>
                <w:szCs w:val="21"/>
              </w:rPr>
              <w:t>)</w:t>
            </w:r>
            <w:r>
              <w:rPr>
                <w:rFonts w:hint="eastAsia" w:ascii="宋体" w:hAnsi="宋体" w:cs="仿宋_GB2312"/>
                <w:color w:val="000000"/>
                <w:szCs w:val="21"/>
              </w:rPr>
              <w:t>、工资计划、财务凭证、账簿、财务报表、财务分析报告等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《中华人民共和国保守国家秘密法》《中华人民共和国政府信息公开条例》第八条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按规定应不予公开的财政资金信息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《中华人民共和国保守国家秘密法》《中华人民共和国政府信息公开条例》第八条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3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行政事项中涉及国家秘密、商业秘密或者个人隐私的信息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受理行政许可、行政审批及其它监管事项中涉及国家秘密、商业秘密或个人隐私的信息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涉及国家秘密以及公开后可能妨害正常执法活动、影响社会稳定或者危及个人生命安全的执法信息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0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260" w:lineRule="exact"/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ascii="宋体" w:hAnsi="宋体" w:cs="仿宋_GB2312"/>
                <w:color w:val="000000"/>
                <w:szCs w:val="21"/>
              </w:rPr>
              <w:t>4</w:t>
            </w: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内部管理资料中不宜公开的信息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包括涉密文件、密码电报；内部合同和协议文本；内部统计数据；单位人员非工作联系方式；正在调查、讨论、处理过程中的信息；研究中尚未实施的事务；行政复议、法律诉讼资料；涉及国家秘密、商业秘密、个人隐私的档案资料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《中华人民共和国保守国家秘密法》《中华人民共和国政府信息公开条例》第八条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机关内部工作需要且不宜公开的各类会议纪要、专报、通报、领导讲话、文件材料、研究课题等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zCs w:val="21"/>
              </w:rPr>
              <w:t>《中华人民共和国政府信息公开条例》第八条、第十四条</w:t>
            </w:r>
          </w:p>
        </w:tc>
      </w:tr>
    </w:tbl>
    <w:p>
      <w:pPr>
        <w:spacing w:line="52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0952"/>
    <w:rsid w:val="18472A92"/>
    <w:rsid w:val="4E8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2019-01-23T06:28:00Z</dcterms:created>
  <dc:creator>        不吃韭菜。</dc:creator>
  <cp:lastModifiedBy>        不吃韭菜。</cp:lastModifiedBy>
  <dcterms:modified xsi:type="dcterms:W3CDTF">2019-01-23T06:30:55Z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