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60253">
      <w:pPr>
        <w:spacing w:line="560" w:lineRule="exact"/>
        <w:rPr>
          <w:rFonts w:ascii="黑体" w:hAnsi="黑体" w:eastAsia="黑体" w:cs="黑体"/>
          <w:sz w:val="32"/>
          <w:szCs w:val="32"/>
        </w:rPr>
      </w:pPr>
      <w:r>
        <w:rPr>
          <w:rFonts w:hint="eastAsia" w:ascii="黑体" w:hAnsi="黑体" w:eastAsia="黑体" w:cs="黑体"/>
          <w:sz w:val="32"/>
          <w:szCs w:val="32"/>
        </w:rPr>
        <w:t>附件</w:t>
      </w:r>
    </w:p>
    <w:p w14:paraId="70361374">
      <w:pPr>
        <w:spacing w:line="560" w:lineRule="exact"/>
        <w:jc w:val="center"/>
        <w:rPr>
          <w:rFonts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1"/>
          <w:sz w:val="44"/>
          <w:szCs w:val="44"/>
        </w:rPr>
        <w:t>行政执法事项目录清单（行政</w:t>
      </w:r>
      <w:r>
        <w:rPr>
          <w:rFonts w:hint="eastAsia" w:ascii="方正小标宋简体" w:hAnsi="方正小标宋简体" w:eastAsia="方正小标宋简体" w:cs="方正小标宋简体"/>
          <w:spacing w:val="1"/>
          <w:sz w:val="44"/>
          <w:szCs w:val="44"/>
          <w:lang w:eastAsia="zh-CN"/>
        </w:rPr>
        <w:t>强制</w:t>
      </w:r>
      <w:r>
        <w:rPr>
          <w:rFonts w:hint="eastAsia" w:ascii="方正小标宋简体" w:hAnsi="方正小标宋简体" w:eastAsia="方正小标宋简体" w:cs="方正小标宋简体"/>
          <w:spacing w:val="1"/>
          <w:sz w:val="44"/>
          <w:szCs w:val="44"/>
        </w:rPr>
        <w:t>）</w:t>
      </w:r>
    </w:p>
    <w:tbl>
      <w:tblPr>
        <w:tblStyle w:val="7"/>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967"/>
        <w:gridCol w:w="1165"/>
        <w:gridCol w:w="1046"/>
        <w:gridCol w:w="1066"/>
        <w:gridCol w:w="1993"/>
        <w:gridCol w:w="1165"/>
        <w:gridCol w:w="1342"/>
        <w:gridCol w:w="1204"/>
        <w:gridCol w:w="2072"/>
        <w:gridCol w:w="809"/>
      </w:tblGrid>
      <w:tr w14:paraId="1282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72F4568">
            <w:pPr>
              <w:pStyle w:val="13"/>
              <w:spacing w:line="280" w:lineRule="exact"/>
              <w:jc w:val="center"/>
              <w:rPr>
                <w:rFonts w:ascii="黑体" w:hAnsi="黑体" w:eastAsia="黑体" w:cs="黑体"/>
                <w:sz w:val="20"/>
                <w:szCs w:val="20"/>
                <w:lang w:eastAsia="zh-CN"/>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0A2EACE">
            <w:pPr>
              <w:pStyle w:val="13"/>
              <w:spacing w:line="280" w:lineRule="exact"/>
              <w:jc w:val="center"/>
              <w:rPr>
                <w:rFonts w:ascii="黑体" w:hAnsi="黑体" w:eastAsia="黑体" w:cs="黑体"/>
                <w:sz w:val="20"/>
                <w:szCs w:val="20"/>
                <w:lang w:eastAsia="zh-CN"/>
              </w:rPr>
            </w:pPr>
            <w:r>
              <w:rPr>
                <w:rFonts w:hint="eastAsia" w:ascii="黑体" w:hAnsi="黑体" w:eastAsia="黑体" w:cs="黑体"/>
                <w:spacing w:val="-1"/>
                <w:sz w:val="20"/>
                <w:szCs w:val="20"/>
              </w:rPr>
              <w:t>执法事项名称</w:t>
            </w:r>
          </w:p>
        </w:tc>
        <w:tc>
          <w:tcPr>
            <w:tcW w:w="967" w:type="dxa"/>
            <w:vMerge w:val="restart"/>
            <w:shd w:val="clear" w:color="auto" w:fill="auto"/>
            <w:vAlign w:val="center"/>
          </w:tcPr>
          <w:p w14:paraId="24D73CFD">
            <w:pPr>
              <w:pStyle w:val="13"/>
              <w:spacing w:line="280" w:lineRule="exact"/>
              <w:jc w:val="center"/>
              <w:rPr>
                <w:rFonts w:ascii="黑体" w:hAnsi="黑体" w:eastAsia="黑体" w:cs="黑体"/>
                <w:sz w:val="20"/>
                <w:szCs w:val="20"/>
                <w:lang w:eastAsia="zh-CN"/>
              </w:rPr>
            </w:pPr>
            <w:r>
              <w:rPr>
                <w:rFonts w:hint="eastAsia" w:ascii="黑体" w:hAnsi="黑体" w:eastAsia="黑体" w:cs="黑体"/>
                <w:spacing w:val="-1"/>
                <w:sz w:val="20"/>
                <w:szCs w:val="20"/>
              </w:rPr>
              <w:t>执法事项类型</w:t>
            </w:r>
          </w:p>
        </w:tc>
        <w:tc>
          <w:tcPr>
            <w:tcW w:w="1165" w:type="dxa"/>
            <w:vMerge w:val="restart"/>
            <w:shd w:val="clear" w:color="auto" w:fill="auto"/>
            <w:vAlign w:val="center"/>
          </w:tcPr>
          <w:p w14:paraId="7A39AE51">
            <w:pPr>
              <w:pStyle w:val="13"/>
              <w:spacing w:line="280" w:lineRule="exact"/>
              <w:jc w:val="center"/>
              <w:rPr>
                <w:rFonts w:ascii="黑体" w:hAnsi="黑体" w:eastAsia="黑体" w:cs="黑体"/>
                <w:sz w:val="20"/>
                <w:szCs w:val="20"/>
                <w:lang w:eastAsia="zh-CN"/>
              </w:rPr>
            </w:pPr>
            <w:r>
              <w:rPr>
                <w:rFonts w:hint="eastAsia" w:ascii="黑体" w:hAnsi="黑体" w:eastAsia="黑体" w:cs="黑体"/>
                <w:spacing w:val="5"/>
                <w:sz w:val="20"/>
                <w:szCs w:val="20"/>
              </w:rPr>
              <w:t>执法部门</w:t>
            </w:r>
          </w:p>
        </w:tc>
        <w:tc>
          <w:tcPr>
            <w:tcW w:w="1046" w:type="dxa"/>
            <w:vMerge w:val="restart"/>
            <w:shd w:val="clear" w:color="auto" w:fill="auto"/>
            <w:vAlign w:val="center"/>
          </w:tcPr>
          <w:p w14:paraId="68BDFB53">
            <w:pPr>
              <w:pStyle w:val="13"/>
              <w:spacing w:line="280" w:lineRule="exact"/>
              <w:jc w:val="center"/>
              <w:rPr>
                <w:rFonts w:ascii="黑体" w:hAnsi="黑体" w:eastAsia="黑体" w:cs="黑体"/>
                <w:sz w:val="20"/>
                <w:szCs w:val="20"/>
                <w:lang w:eastAsia="zh-CN"/>
              </w:rPr>
            </w:pPr>
            <w:r>
              <w:rPr>
                <w:rFonts w:hint="eastAsia" w:ascii="黑体" w:hAnsi="黑体" w:eastAsia="黑体" w:cs="黑体"/>
                <w:spacing w:val="-2"/>
                <w:sz w:val="20"/>
                <w:szCs w:val="20"/>
              </w:rPr>
              <w:t>执法领域</w:t>
            </w:r>
          </w:p>
        </w:tc>
        <w:tc>
          <w:tcPr>
            <w:tcW w:w="1066" w:type="dxa"/>
            <w:vMerge w:val="restart"/>
            <w:shd w:val="clear" w:color="auto" w:fill="auto"/>
            <w:vAlign w:val="center"/>
          </w:tcPr>
          <w:p w14:paraId="028BDE6E">
            <w:pPr>
              <w:pStyle w:val="13"/>
              <w:spacing w:line="280" w:lineRule="exact"/>
              <w:jc w:val="center"/>
              <w:rPr>
                <w:rFonts w:ascii="黑体" w:hAnsi="黑体" w:eastAsia="黑体" w:cs="黑体"/>
                <w:sz w:val="20"/>
                <w:szCs w:val="20"/>
                <w:lang w:eastAsia="zh-CN"/>
              </w:rPr>
            </w:pPr>
            <w:r>
              <w:rPr>
                <w:rFonts w:hint="eastAsia" w:ascii="黑体" w:hAnsi="黑体" w:eastAsia="黑体" w:cs="黑体"/>
                <w:spacing w:val="2"/>
                <w:sz w:val="20"/>
                <w:szCs w:val="20"/>
              </w:rPr>
              <w:t>实施层级</w:t>
            </w:r>
          </w:p>
        </w:tc>
        <w:tc>
          <w:tcPr>
            <w:tcW w:w="7776" w:type="dxa"/>
            <w:gridSpan w:val="5"/>
            <w:vAlign w:val="center"/>
          </w:tcPr>
          <w:p w14:paraId="72C6F6E9">
            <w:pPr>
              <w:spacing w:line="280" w:lineRule="exact"/>
              <w:jc w:val="center"/>
              <w:rPr>
                <w:rFonts w:ascii="方正小标宋简体" w:hAnsi="方正小标宋简体" w:eastAsia="方正小标宋简体" w:cs="方正小标宋简体"/>
                <w:spacing w:val="1"/>
                <w:sz w:val="20"/>
                <w:szCs w:val="20"/>
              </w:rPr>
            </w:pPr>
            <w:r>
              <w:rPr>
                <w:rFonts w:hint="eastAsia" w:ascii="黑体" w:hAnsi="黑体" w:eastAsia="黑体" w:cs="黑体"/>
                <w:spacing w:val="-2"/>
                <w:sz w:val="20"/>
                <w:szCs w:val="20"/>
              </w:rPr>
              <w:t>执法依据</w:t>
            </w:r>
          </w:p>
        </w:tc>
        <w:tc>
          <w:tcPr>
            <w:tcW w:w="809" w:type="dxa"/>
            <w:vMerge w:val="restart"/>
            <w:vAlign w:val="center"/>
          </w:tcPr>
          <w:p w14:paraId="75526EFE">
            <w:pPr>
              <w:spacing w:line="280" w:lineRule="exact"/>
              <w:jc w:val="center"/>
              <w:rPr>
                <w:rFonts w:ascii="方正小标宋简体" w:hAnsi="方正小标宋简体" w:eastAsia="方正小标宋简体" w:cs="方正小标宋简体"/>
                <w:spacing w:val="1"/>
                <w:sz w:val="20"/>
                <w:szCs w:val="20"/>
              </w:rPr>
            </w:pPr>
            <w:r>
              <w:rPr>
                <w:rFonts w:hint="eastAsia" w:ascii="黑体" w:hAnsi="黑体" w:eastAsia="黑体" w:cs="黑体"/>
                <w:spacing w:val="-3"/>
                <w:sz w:val="20"/>
                <w:szCs w:val="20"/>
              </w:rPr>
              <w:t>备注</w:t>
            </w:r>
          </w:p>
        </w:tc>
      </w:tr>
      <w:tr w14:paraId="195F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D81F064">
            <w:pPr>
              <w:spacing w:line="280" w:lineRule="exact"/>
              <w:jc w:val="center"/>
              <w:rPr>
                <w:rFonts w:ascii="方正小标宋简体" w:hAnsi="方正小标宋简体" w:eastAsia="方正小标宋简体" w:cs="方正小标宋简体"/>
                <w:spacing w:val="1"/>
                <w:sz w:val="44"/>
                <w:szCs w:val="44"/>
              </w:rPr>
            </w:pPr>
          </w:p>
        </w:tc>
        <w:tc>
          <w:tcPr>
            <w:tcW w:w="868" w:type="dxa"/>
            <w:vMerge w:val="continue"/>
            <w:vAlign w:val="center"/>
          </w:tcPr>
          <w:p w14:paraId="3CA3936A">
            <w:pPr>
              <w:spacing w:line="280" w:lineRule="exact"/>
              <w:jc w:val="center"/>
              <w:rPr>
                <w:rFonts w:ascii="方正小标宋简体" w:hAnsi="方正小标宋简体" w:eastAsia="方正小标宋简体" w:cs="方正小标宋简体"/>
                <w:spacing w:val="1"/>
                <w:sz w:val="44"/>
                <w:szCs w:val="44"/>
              </w:rPr>
            </w:pPr>
          </w:p>
        </w:tc>
        <w:tc>
          <w:tcPr>
            <w:tcW w:w="967" w:type="dxa"/>
            <w:vMerge w:val="continue"/>
            <w:vAlign w:val="center"/>
          </w:tcPr>
          <w:p w14:paraId="7EDE9828">
            <w:pPr>
              <w:spacing w:line="280" w:lineRule="exact"/>
              <w:jc w:val="center"/>
              <w:rPr>
                <w:rFonts w:ascii="方正小标宋简体" w:hAnsi="方正小标宋简体" w:eastAsia="方正小标宋简体" w:cs="方正小标宋简体"/>
                <w:spacing w:val="1"/>
                <w:sz w:val="44"/>
                <w:szCs w:val="44"/>
              </w:rPr>
            </w:pPr>
          </w:p>
        </w:tc>
        <w:tc>
          <w:tcPr>
            <w:tcW w:w="1165" w:type="dxa"/>
            <w:vMerge w:val="continue"/>
            <w:vAlign w:val="center"/>
          </w:tcPr>
          <w:p w14:paraId="7A00CE0C">
            <w:pPr>
              <w:spacing w:line="280" w:lineRule="exact"/>
              <w:jc w:val="center"/>
              <w:rPr>
                <w:rFonts w:ascii="方正小标宋简体" w:hAnsi="方正小标宋简体" w:eastAsia="方正小标宋简体" w:cs="方正小标宋简体"/>
                <w:spacing w:val="1"/>
                <w:sz w:val="44"/>
                <w:szCs w:val="44"/>
              </w:rPr>
            </w:pPr>
          </w:p>
        </w:tc>
        <w:tc>
          <w:tcPr>
            <w:tcW w:w="1046" w:type="dxa"/>
            <w:vMerge w:val="continue"/>
            <w:vAlign w:val="center"/>
          </w:tcPr>
          <w:p w14:paraId="6ECF750C">
            <w:pPr>
              <w:spacing w:line="280" w:lineRule="exact"/>
              <w:jc w:val="center"/>
              <w:rPr>
                <w:rFonts w:ascii="方正小标宋简体" w:hAnsi="方正小标宋简体" w:eastAsia="方正小标宋简体" w:cs="方正小标宋简体"/>
                <w:spacing w:val="1"/>
                <w:sz w:val="44"/>
                <w:szCs w:val="44"/>
              </w:rPr>
            </w:pPr>
          </w:p>
        </w:tc>
        <w:tc>
          <w:tcPr>
            <w:tcW w:w="1066" w:type="dxa"/>
            <w:vMerge w:val="continue"/>
            <w:vAlign w:val="center"/>
          </w:tcPr>
          <w:p w14:paraId="33D64C06">
            <w:pPr>
              <w:spacing w:line="280" w:lineRule="exact"/>
              <w:jc w:val="center"/>
              <w:rPr>
                <w:rFonts w:ascii="方正小标宋简体" w:hAnsi="方正小标宋简体" w:eastAsia="方正小标宋简体" w:cs="方正小标宋简体"/>
                <w:spacing w:val="1"/>
                <w:sz w:val="44"/>
                <w:szCs w:val="44"/>
              </w:rPr>
            </w:pPr>
          </w:p>
        </w:tc>
        <w:tc>
          <w:tcPr>
            <w:tcW w:w="1993" w:type="dxa"/>
            <w:vAlign w:val="center"/>
          </w:tcPr>
          <w:p w14:paraId="3CD46706">
            <w:pPr>
              <w:pStyle w:val="13"/>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法律</w:t>
            </w:r>
          </w:p>
        </w:tc>
        <w:tc>
          <w:tcPr>
            <w:tcW w:w="1165" w:type="dxa"/>
            <w:vAlign w:val="center"/>
          </w:tcPr>
          <w:p w14:paraId="08A1C79A">
            <w:pPr>
              <w:pStyle w:val="13"/>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行政法规</w:t>
            </w:r>
          </w:p>
        </w:tc>
        <w:tc>
          <w:tcPr>
            <w:tcW w:w="1342" w:type="dxa"/>
            <w:vAlign w:val="center"/>
          </w:tcPr>
          <w:p w14:paraId="3EBA5A17">
            <w:pPr>
              <w:pStyle w:val="13"/>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地方性法规</w:t>
            </w:r>
          </w:p>
        </w:tc>
        <w:tc>
          <w:tcPr>
            <w:tcW w:w="1204" w:type="dxa"/>
            <w:vAlign w:val="center"/>
          </w:tcPr>
          <w:p w14:paraId="2140CD11">
            <w:pPr>
              <w:pStyle w:val="13"/>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3"/>
                <w:sz w:val="20"/>
                <w:szCs w:val="20"/>
              </w:rPr>
              <w:t>部门规章</w:t>
            </w:r>
          </w:p>
        </w:tc>
        <w:tc>
          <w:tcPr>
            <w:tcW w:w="2072" w:type="dxa"/>
            <w:vAlign w:val="center"/>
          </w:tcPr>
          <w:p w14:paraId="0F4C9E50">
            <w:pPr>
              <w:pStyle w:val="13"/>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政府规章</w:t>
            </w:r>
          </w:p>
        </w:tc>
        <w:tc>
          <w:tcPr>
            <w:tcW w:w="809" w:type="dxa"/>
            <w:vMerge w:val="continue"/>
            <w:vAlign w:val="center"/>
          </w:tcPr>
          <w:p w14:paraId="41E02142">
            <w:pPr>
              <w:spacing w:line="280" w:lineRule="exact"/>
              <w:jc w:val="center"/>
              <w:rPr>
                <w:rFonts w:ascii="方正小标宋简体" w:hAnsi="方正小标宋简体" w:eastAsia="方正小标宋简体" w:cs="方正小标宋简体"/>
                <w:spacing w:val="1"/>
                <w:sz w:val="44"/>
                <w:szCs w:val="44"/>
              </w:rPr>
            </w:pPr>
          </w:p>
        </w:tc>
      </w:tr>
      <w:tr w14:paraId="3C3A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034493B8">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w:t>
            </w:r>
          </w:p>
        </w:tc>
        <w:tc>
          <w:tcPr>
            <w:tcW w:w="868" w:type="dxa"/>
            <w:vAlign w:val="center"/>
          </w:tcPr>
          <w:p w14:paraId="116B153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对未取得取水申请批准文件擅自建设取水工程设施逾期不拆除或者不封闭行为的行政强制</w:t>
            </w:r>
          </w:p>
        </w:tc>
        <w:tc>
          <w:tcPr>
            <w:tcW w:w="967" w:type="dxa"/>
            <w:vAlign w:val="center"/>
          </w:tcPr>
          <w:p w14:paraId="51E9740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159237A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2CB6BD2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0E7BD1F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1C8105B4">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0497F03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w:t>
            </w:r>
            <w:r>
              <w:rPr>
                <w:rFonts w:hint="default" w:asciiTheme="minorEastAsia" w:hAnsiTheme="minorEastAsia" w:eastAsiaTheme="minorEastAsia" w:cstheme="minorEastAsia"/>
                <w:spacing w:val="1"/>
                <w:sz w:val="15"/>
                <w:szCs w:val="15"/>
                <w:lang w:val="en-US" w:eastAsia="zh-CN"/>
              </w:rPr>
              <w:t>县级以上地方人民政府水行政主管部门或者流域管理机构组织拆除或者封闭，所需费用由违法行为人承担，可以处5万元以下罚款。</w:t>
            </w:r>
          </w:p>
        </w:tc>
        <w:tc>
          <w:tcPr>
            <w:tcW w:w="1342" w:type="dxa"/>
            <w:vAlign w:val="center"/>
          </w:tcPr>
          <w:p w14:paraId="13E05A38">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24FDC303">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7FD732A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《甘肃省取水许可和水资源费征收管理办法》第三十九条 违反本办法的行为，按照国务院《取水许可和水资源费征收管理条例》等法律法规的规定处理。</w:t>
            </w:r>
          </w:p>
        </w:tc>
        <w:tc>
          <w:tcPr>
            <w:tcW w:w="809" w:type="dxa"/>
            <w:vAlign w:val="center"/>
          </w:tcPr>
          <w:p w14:paraId="72E8D0DB">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2098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67DC602B">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w:t>
            </w:r>
          </w:p>
        </w:tc>
        <w:tc>
          <w:tcPr>
            <w:tcW w:w="868" w:type="dxa"/>
            <w:vAlign w:val="center"/>
          </w:tcPr>
          <w:p w14:paraId="2C9536F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对责令限期缴纳水资源费，且逾期不缴纳水资源费行为的行政强制</w:t>
            </w:r>
          </w:p>
        </w:tc>
        <w:tc>
          <w:tcPr>
            <w:tcW w:w="967" w:type="dxa"/>
            <w:vAlign w:val="center"/>
          </w:tcPr>
          <w:p w14:paraId="456103D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6C010718">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0A7DEC9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3057CC7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286A927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《中华人民共和国水法》第七十条 </w:t>
            </w:r>
            <w:r>
              <w:rPr>
                <w:rFonts w:hint="default" w:asciiTheme="minorEastAsia" w:hAnsiTheme="minorEastAsia" w:eastAsiaTheme="minorEastAsia" w:cstheme="minorEastAsia"/>
                <w:spacing w:val="1"/>
                <w:sz w:val="15"/>
                <w:szCs w:val="15"/>
                <w:lang w:val="en-US" w:eastAsia="zh-CN"/>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r>
              <w:rPr>
                <w:rFonts w:hint="default" w:asciiTheme="minorEastAsia" w:hAnsiTheme="minorEastAsia" w:eastAsiaTheme="minorEastAsia" w:cstheme="minorEastAsia"/>
                <w:spacing w:val="1"/>
                <w:sz w:val="15"/>
                <w:szCs w:val="15"/>
                <w:lang w:val="en-US" w:eastAsia="zh-CN"/>
              </w:rPr>
              <w:br w:type="textWrapping"/>
            </w:r>
          </w:p>
        </w:tc>
        <w:tc>
          <w:tcPr>
            <w:tcW w:w="1165" w:type="dxa"/>
            <w:vAlign w:val="center"/>
          </w:tcPr>
          <w:p w14:paraId="02E41F59">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《取水许可和水资源费征收管理条例》第五十四条 取水单位或者个人拒不缴纳、拖延缴纳或者拖欠水资源费的，依照《中华人民共和国水法》第七十条规定处罚</w:t>
            </w:r>
          </w:p>
          <w:p w14:paraId="46417678">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74E20CC1">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《甘肃省实施&lt;中华人民共和国水法&gt;办法》第六十三条 违反本办法规定的行为，法律、法规已有处罚规定的，依照其规定执行。</w:t>
            </w:r>
          </w:p>
          <w:p w14:paraId="0B858B13">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053C4760">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6AA61F2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《甘肃省取水许可和水资源费征收管理办法》第三十九条 违反本办法的行为，按照国务院《取水许可和水资源费征收管理条例》等法律法规的规定处理</w:t>
            </w:r>
            <w:r>
              <w:rPr>
                <w:rFonts w:hint="eastAsia" w:asciiTheme="minorEastAsia" w:hAnsiTheme="minorEastAsia" w:eastAsiaTheme="minorEastAsia" w:cstheme="minorEastAsia"/>
                <w:spacing w:val="1"/>
                <w:sz w:val="15"/>
                <w:szCs w:val="15"/>
                <w:lang w:val="en-US" w:eastAsia="zh-CN"/>
              </w:rPr>
              <w:t>。</w:t>
            </w:r>
          </w:p>
        </w:tc>
        <w:tc>
          <w:tcPr>
            <w:tcW w:w="809" w:type="dxa"/>
            <w:vAlign w:val="center"/>
          </w:tcPr>
          <w:p w14:paraId="6F79AC35">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512E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3EADB4EB">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w:t>
            </w:r>
          </w:p>
        </w:tc>
        <w:tc>
          <w:tcPr>
            <w:tcW w:w="868" w:type="dxa"/>
            <w:vAlign w:val="center"/>
          </w:tcPr>
          <w:p w14:paraId="3DBDA47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对以监测、勘探为目的的地下水取水工程应当备案而未备案，且逾期不封井或者回填行为的行政强制</w:t>
            </w:r>
          </w:p>
        </w:tc>
        <w:tc>
          <w:tcPr>
            <w:tcW w:w="967" w:type="dxa"/>
            <w:vAlign w:val="center"/>
          </w:tcPr>
          <w:p w14:paraId="2FEDDAD8">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337721C1">
            <w:pPr>
              <w:spacing w:line="240" w:lineRule="exact"/>
              <w:jc w:val="center"/>
              <w:rPr>
                <w:rFonts w:hint="eastAsia" w:asciiTheme="minorEastAsia" w:hAnsiTheme="minorEastAsia" w:eastAsiaTheme="minorEastAsia" w:cstheme="minorEastAsia"/>
                <w:spacing w:val="1"/>
                <w:sz w:val="15"/>
                <w:szCs w:val="15"/>
                <w:lang w:val="en-US" w:eastAsia="zh-CN"/>
              </w:rPr>
            </w:pPr>
            <w:bookmarkStart w:id="0" w:name="_GoBack"/>
            <w:bookmarkEnd w:id="0"/>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7B845BD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3FBE8D5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318C2AFE">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79EA7F3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《地下水管理条例》第四十八条 以监测、勘探为目的的地下水取水工程，不需要申请取水许可，建设单位应当于施工前报有管辖权的水行政主管部门备案。</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第六十一条 以监测、勘探为目的的地下水取水工程在施工前应当备案而未备案的，由</w:t>
            </w:r>
            <w:r>
              <w:rPr>
                <w:rFonts w:hint="default" w:asciiTheme="minorEastAsia" w:hAnsiTheme="minorEastAsia" w:eastAsiaTheme="minorEastAsia" w:cstheme="minorEastAsia"/>
                <w:spacing w:val="1"/>
                <w:sz w:val="15"/>
                <w:szCs w:val="15"/>
                <w:lang w:val="en-US" w:eastAsia="zh-CN"/>
              </w:rPr>
              <w:t>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1342" w:type="dxa"/>
            <w:vAlign w:val="center"/>
          </w:tcPr>
          <w:p w14:paraId="21E0469F">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265B763F">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6325D05C">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4B86AAC1">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4E7B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453BC0A6">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w:t>
            </w:r>
          </w:p>
        </w:tc>
        <w:tc>
          <w:tcPr>
            <w:tcW w:w="868" w:type="dxa"/>
            <w:vAlign w:val="center"/>
          </w:tcPr>
          <w:p w14:paraId="496BCF6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对地下工程建设给地下水补给、径流、排泄等造成重大不利影响，且逾期不采取措施消除不利影响行为的行政强制</w:t>
            </w:r>
          </w:p>
        </w:tc>
        <w:tc>
          <w:tcPr>
            <w:tcW w:w="967" w:type="dxa"/>
            <w:vAlign w:val="center"/>
          </w:tcPr>
          <w:p w14:paraId="5063C6E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6086773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26BF4F6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2F9030FC">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4912181C">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2B0D097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《地下水管理条例》第二十六条 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第五十七条 地下工程建设对地下水补给、径流、排泄等造成重大不利影响的，由</w:t>
            </w:r>
            <w:r>
              <w:rPr>
                <w:rFonts w:hint="default" w:asciiTheme="minorEastAsia" w:hAnsiTheme="minorEastAsia" w:eastAsiaTheme="minorEastAsia" w:cstheme="minorEastAsia"/>
                <w:spacing w:val="1"/>
                <w:sz w:val="15"/>
                <w:szCs w:val="15"/>
                <w:lang w:val="en-US" w:eastAsia="zh-CN"/>
              </w:rPr>
              <w:t>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tc>
        <w:tc>
          <w:tcPr>
            <w:tcW w:w="1342" w:type="dxa"/>
            <w:vAlign w:val="center"/>
          </w:tcPr>
          <w:p w14:paraId="7322E212">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4F2C3B8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76E5AF5C">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1CF4D6FB">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4411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552B1E6C">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w:t>
            </w:r>
          </w:p>
        </w:tc>
        <w:tc>
          <w:tcPr>
            <w:tcW w:w="868" w:type="dxa"/>
            <w:vAlign w:val="center"/>
          </w:tcPr>
          <w:p w14:paraId="4A7314F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对报废的矿井、钻井、地下水取水工程，或者未建成、已完成勘探任务、依法应当停止取水的地下水取水工程，未按照规定封井或者回填，且不具备封井或者回填能力行为的行政强制</w:t>
            </w:r>
          </w:p>
        </w:tc>
        <w:tc>
          <w:tcPr>
            <w:tcW w:w="967" w:type="dxa"/>
            <w:vAlign w:val="center"/>
          </w:tcPr>
          <w:p w14:paraId="7BB293C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4E0DE62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2B93001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44C655D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30832CD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677E511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《地下水管理条例》第五十八条 报废的矿井、钻井、地下水取水工程，或者未建成、已完成勘探任务、依法应当停止取水的地下水取水工程，未按照规定封井或者回填的，由</w:t>
            </w:r>
            <w:r>
              <w:rPr>
                <w:rFonts w:hint="default" w:asciiTheme="minorEastAsia" w:hAnsiTheme="minorEastAsia" w:eastAsiaTheme="minorEastAsia" w:cstheme="minorEastAsia"/>
                <w:spacing w:val="1"/>
                <w:sz w:val="15"/>
                <w:szCs w:val="15"/>
                <w:lang w:val="en-US" w:eastAsia="zh-CN"/>
              </w:rPr>
              <w:t>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c>
          <w:tcPr>
            <w:tcW w:w="1342" w:type="dxa"/>
            <w:vAlign w:val="center"/>
          </w:tcPr>
          <w:p w14:paraId="5681B38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4E54358C">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7A560F3A">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73F9D80B">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63E6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vAlign w:val="center"/>
          </w:tcPr>
          <w:p w14:paraId="52E5B89D">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w:t>
            </w:r>
          </w:p>
        </w:tc>
        <w:tc>
          <w:tcPr>
            <w:tcW w:w="868" w:type="dxa"/>
            <w:vAlign w:val="center"/>
          </w:tcPr>
          <w:p w14:paraId="1C6F83E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对侵占、毁坏或者擅自移动地下水监测设施设备及其标志，逾期不采取补救措施行为的行政强制</w:t>
            </w:r>
          </w:p>
        </w:tc>
        <w:tc>
          <w:tcPr>
            <w:tcW w:w="967" w:type="dxa"/>
            <w:vAlign w:val="center"/>
          </w:tcPr>
          <w:p w14:paraId="6677824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42DCFFA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1737AC5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76D983D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60A09EC7">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159E38B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《地下水管理条例》第四十七条 任何单位和个人不得侵占、毁坏或者擅自移动地下水监测设施设备及其标志。</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第六十条 侵占、毁坏或者擅自移动地下水监测设施设备及其标志的，由</w:t>
            </w:r>
            <w:r>
              <w:rPr>
                <w:rFonts w:hint="default" w:asciiTheme="minorEastAsia" w:hAnsiTheme="minorEastAsia" w:eastAsiaTheme="minorEastAsia" w:cstheme="minorEastAsia"/>
                <w:spacing w:val="1"/>
                <w:sz w:val="15"/>
                <w:szCs w:val="15"/>
                <w:lang w:val="en-US" w:eastAsia="zh-CN"/>
              </w:rPr>
              <w:t>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1342" w:type="dxa"/>
            <w:vAlign w:val="center"/>
          </w:tcPr>
          <w:p w14:paraId="4EDB3E28">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6D57CEB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3CD39455">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00E49C71">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6CC9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vAlign w:val="center"/>
          </w:tcPr>
          <w:p w14:paraId="3300E163">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w:t>
            </w:r>
          </w:p>
        </w:tc>
        <w:tc>
          <w:tcPr>
            <w:tcW w:w="868" w:type="dxa"/>
            <w:vAlign w:val="center"/>
          </w:tcPr>
          <w:p w14:paraId="643988B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对河道管理范围内建设妨碍行洪的建筑物、构筑物，或者从事影响河势稳定、危害河岸堤防安全和其他妨碍河道行洪的活动责令限期拆除或者恢复原状，逾期不拆除、不恢复原状等行为的行政强制</w:t>
            </w:r>
          </w:p>
        </w:tc>
        <w:tc>
          <w:tcPr>
            <w:tcW w:w="967" w:type="dxa"/>
            <w:vAlign w:val="center"/>
          </w:tcPr>
          <w:p w14:paraId="4A2457A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0D0AA29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5D82570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55FB9A0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15BE32C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《中华人民共和国水法》第六十五条第一款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1165" w:type="dxa"/>
            <w:vAlign w:val="center"/>
          </w:tcPr>
          <w:p w14:paraId="465210E7">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197CEFE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《甘肃省实施&lt;中华人民共和国水法&gt;办法》第五十六条 违反本办法规定，在河道管理范围内建设妨碍行洪的建筑物、构筑物或者从事影响河势稳定、危害河岸堤防安全和其他妨碍河道行洪活动的，由县级以上人民政府水行政主管部门依据职权，责令停止违法行为，限期拆除违法建筑物、构筑物，恢复原状；逾期不拆除、不恢复原状的，强行拆除，所需费用由违法单位或者个人负担，并处一万元以上十万元以下的罚款。</w:t>
            </w:r>
          </w:p>
          <w:p w14:paraId="44EC4889">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《甘肃省实施&lt;中华人民共和国防洪法&gt;办法》第十五条第一款 禁止在河道、湖泊管理范围内建设妨碍行洪的建筑物、构筑物，倾倒垃圾、渣土，从事影响河势稳定、危害河岸堤防安全和其他妨碍河道行洪的活动。</w:t>
            </w:r>
          </w:p>
          <w:p w14:paraId="48DC511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第四十五条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p w14:paraId="124EC6FD">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《甘肃省河道管理条例》第三十七条第一款 违反本条例第二十七条第一款规定的，由县级以上人民政府水行政主管部门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204" w:type="dxa"/>
            <w:vAlign w:val="center"/>
          </w:tcPr>
          <w:p w14:paraId="46B0D53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158129D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3030D678">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5FB3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vAlign w:val="center"/>
          </w:tcPr>
          <w:p w14:paraId="453FAD9F">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w:t>
            </w:r>
          </w:p>
        </w:tc>
        <w:tc>
          <w:tcPr>
            <w:tcW w:w="868" w:type="dxa"/>
            <w:vAlign w:val="center"/>
          </w:tcPr>
          <w:p w14:paraId="3826391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对逾期不拆除擅自修建水工程，或者建设桥梁、码头和其他拦河、跨河、临河建筑物、构筑物，铺设跨河管道、电缆行为的行政强制</w:t>
            </w:r>
          </w:p>
        </w:tc>
        <w:tc>
          <w:tcPr>
            <w:tcW w:w="967" w:type="dxa"/>
            <w:vAlign w:val="center"/>
          </w:tcPr>
          <w:p w14:paraId="28ADB23D">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39DF6D58">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502A849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7CE8327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2B85D97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《中华人民共和国水法》第六十五条第二款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165" w:type="dxa"/>
            <w:vAlign w:val="center"/>
          </w:tcPr>
          <w:p w14:paraId="4DD2D74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04A4F94D">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《甘肃省实施&lt;中华人民共和国水法&gt;办法》第五十六条 违反本办法规定，在河道管理范围内建设妨碍行洪的建筑物、构筑物或者从事影响河势稳定、危害河岸堤防安全和其他妨碍河道行洪活动的，由县级以上人民政府水行政主管部门依据职权，责令停止违法行为，限期拆除违法建筑物、构筑物，恢复原状；逾期不拆除、不恢复原状的，强行拆除，所需费用由违法单位或者个人负担，并处一万元以上十万元以下的罚款。</w:t>
            </w:r>
          </w:p>
          <w:p w14:paraId="37DA030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《甘肃省实施&lt;中华人民共和国防洪法&gt;办法》第十五条第一款 禁止在河道、湖泊管理范围内建设妨碍行洪的建筑物、构筑物，倾倒垃圾、渣土，从事影响河势稳定、危害河岸堤防安全和其他妨碍河道行洪的活动。</w:t>
            </w:r>
          </w:p>
          <w:p w14:paraId="033063F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第四十五条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p w14:paraId="4240D21D">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《甘肃省河道管理条例》第三十七条第二款 违反本条例第二十七条第二款规定，未按照审查批准的位置、界限从事工程设施建设活动的，由县级以上人民政府水行政主管部门责令停止违法行为；工程设施建设严重影响防洪的，责令限期拆除，逾期不拆除的，强行拆除，所需费用由建设单位承担；影响行洪但尚可采取补救措施的，责令限期采取补救措施，可以处一万元以上十万元以下的罚款。</w:t>
            </w:r>
          </w:p>
        </w:tc>
        <w:tc>
          <w:tcPr>
            <w:tcW w:w="1204" w:type="dxa"/>
            <w:vAlign w:val="center"/>
          </w:tcPr>
          <w:p w14:paraId="25C1B70E">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6588B37C">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473BF0EF">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30EA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4BB70772">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w:t>
            </w:r>
          </w:p>
        </w:tc>
        <w:tc>
          <w:tcPr>
            <w:tcW w:w="868" w:type="dxa"/>
            <w:vAlign w:val="center"/>
          </w:tcPr>
          <w:p w14:paraId="2FBDB65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对围湖造地、未经批准围垦河道或者在长江、黄河、珠江、辽河、淮河、海河入海河口范围内违反河口整治规划围海造地的，既不恢复原状也不采取其他补救措施行为的行政强制</w:t>
            </w:r>
          </w:p>
        </w:tc>
        <w:tc>
          <w:tcPr>
            <w:tcW w:w="967" w:type="dxa"/>
            <w:vAlign w:val="center"/>
          </w:tcPr>
          <w:p w14:paraId="377918D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2F89907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7F19695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2A52FDA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54AC19F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《中华人民共和国防洪法》第十五条 国务院水行政主管部门应当会同有关部门和省、自治区、直辖市人民政府制定长江、黄河、珠江、辽河、淮河、海河入海河口的整治规划。</w:t>
            </w:r>
          </w:p>
          <w:p w14:paraId="3EA361D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在前款入海河口围海造地，应当符合河口整治规划。</w:t>
            </w:r>
          </w:p>
          <w:p w14:paraId="5CEDBB4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第二十三条 禁止围湖造地。已经围垦的，应当按照国家规定的防洪标准进行治理，有计划地退地还湖。</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禁止围垦河道。确需围垦的，应当进行科学论证，经水行政主管部门确认不妨碍行洪、输水后，报省级以上人民政府批准。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74972B33">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第六十三条 除本法第五十九条的规定外，本章规定的行政处罚和行政措施，由县级以上人民政府水行政主管部门决定，或者由流域管理机构按照国务院水行政主管部门规定的权限决定。</w:t>
            </w:r>
          </w:p>
          <w:p w14:paraId="4A2EA54D">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7E69B66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6218A6F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《甘肃省实施&lt;中华人民共和国水法&gt;办法》第五十七条 违反本办法规定，在江河、湖泊、水库、渠道内弃置、堆放阻碍行洪的物体和种植阻碍行洪的林木及高秆作物；围湖造地或者未经批准围垦河道的，由县级以上人民政府水行政主管部门依据职权，责令停止违法行为，限期清除障碍或者采取其他补救措施，处一万元以上五万元以下的罚款。</w:t>
            </w:r>
          </w:p>
        </w:tc>
        <w:tc>
          <w:tcPr>
            <w:tcW w:w="1204" w:type="dxa"/>
            <w:vAlign w:val="center"/>
          </w:tcPr>
          <w:p w14:paraId="03C3516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6C1C777F">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559BE101">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2190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1292261F">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w:t>
            </w:r>
          </w:p>
        </w:tc>
        <w:tc>
          <w:tcPr>
            <w:tcW w:w="868" w:type="dxa"/>
            <w:vAlign w:val="center"/>
          </w:tcPr>
          <w:p w14:paraId="2552C07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对逾期不拆除未经审查同意或者未按照审查批准的位置、界限，在河道、湖泊管理范围内从事工程设施建设活动行为的行政强制</w:t>
            </w:r>
          </w:p>
        </w:tc>
        <w:tc>
          <w:tcPr>
            <w:tcW w:w="967" w:type="dxa"/>
            <w:vAlign w:val="center"/>
          </w:tcPr>
          <w:p w14:paraId="4EEC210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72341DFD">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653277B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7E791C5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6280798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《中华人民共和国防洪法》第五十七条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77C830F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第六十三条 除本法第五十九条的规定外，本章规定的行政处罚和行政措施，由县级以上人民政府水行政主管部门决定，或者由流域管理机构按照国务院水行政主管部门规定的权限决定。</w:t>
            </w:r>
          </w:p>
        </w:tc>
        <w:tc>
          <w:tcPr>
            <w:tcW w:w="1165" w:type="dxa"/>
            <w:vAlign w:val="center"/>
          </w:tcPr>
          <w:p w14:paraId="7EF0E9B0">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62D33C36">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56DE177C">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4DF5B034">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1F8466EA">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6B7F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38587205">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w:t>
            </w:r>
          </w:p>
        </w:tc>
        <w:tc>
          <w:tcPr>
            <w:tcW w:w="868" w:type="dxa"/>
            <w:vAlign w:val="center"/>
          </w:tcPr>
          <w:p w14:paraId="22BCF5E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对紧急防汛期逾期不清除壅水、阻水严重的桥梁、引道、码头和其他跨河工程设施等行为的行政强制</w:t>
            </w:r>
          </w:p>
        </w:tc>
        <w:tc>
          <w:tcPr>
            <w:tcW w:w="967" w:type="dxa"/>
            <w:vAlign w:val="center"/>
          </w:tcPr>
          <w:p w14:paraId="0420872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75C1A85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58BCC4F9">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30893D4C">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300EEA0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《中华人民共和国防洪法》第四十二条 对河道、湖泊范围内阻碍行洪的障碍物，按照谁设障、谁清除的原则，由</w:t>
            </w:r>
            <w:r>
              <w:rPr>
                <w:rFonts w:hint="default" w:asciiTheme="minorEastAsia" w:hAnsiTheme="minorEastAsia" w:eastAsiaTheme="minorEastAsia" w:cstheme="minorEastAsia"/>
                <w:spacing w:val="1"/>
                <w:sz w:val="15"/>
                <w:szCs w:val="15"/>
                <w:lang w:val="en-US" w:eastAsia="zh-CN"/>
              </w:rPr>
              <w:t>防汛指挥机构责令限期清除；逾期不清除的，由防汛指挥机构组织强行清除，所需费用由设障者承担。</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在紧急防汛期，国家防汛指挥机构或者其授权的流域、省、自治区、直辖市防汛指挥机构有权对壅水、阻水严重的桥梁、引道、码头和其他跨河工程设施作出紧急处置。</w:t>
            </w:r>
          </w:p>
        </w:tc>
        <w:tc>
          <w:tcPr>
            <w:tcW w:w="1165" w:type="dxa"/>
            <w:vAlign w:val="center"/>
          </w:tcPr>
          <w:p w14:paraId="73B9D2F0">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《中华人民共和国河道管理条例》第三十七条 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p>
          <w:p w14:paraId="61491AC2">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79E1B0D5">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《甘肃省实施&lt;中华人民共和国防洪法&gt;办法》第三十条第一款 对河道管理范围内阻碍行洪的障碍物，按照谁设障、谁清除的原则，由县级以上人民政府水行政主管部门责令限期清除；逾期不清除的，由县级以上人民政府水行政主管部门组织强行清除，所需费用由设障者承担。</w:t>
            </w:r>
          </w:p>
          <w:p w14:paraId="3C16F60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第三十三条第二款 在紧急防汛期，防汛指挥机构根据防汛抗洪的需要，有权在其管辖范围内调用物资、设备、交通运输工具和人力，决定采取取土占地、砍伐林木、清除阻水障碍物和其他必要的紧急措施；必要时，公安、交通运输等有关部门按照防汛指挥机构的决定，依法实施陆地和水面交通管制。</w:t>
            </w:r>
          </w:p>
        </w:tc>
        <w:tc>
          <w:tcPr>
            <w:tcW w:w="1204" w:type="dxa"/>
            <w:vAlign w:val="center"/>
          </w:tcPr>
          <w:p w14:paraId="45A64B18">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243BE44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71D28735">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79BC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34BA29D4">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w:t>
            </w:r>
          </w:p>
        </w:tc>
        <w:tc>
          <w:tcPr>
            <w:tcW w:w="868" w:type="dxa"/>
            <w:vAlign w:val="center"/>
          </w:tcPr>
          <w:p w14:paraId="4A33C15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将天然河道改为暗河（渠），擅自填堵、缩减原有河道沟叉、贮水湖塘洼淀和废除原有防洪堤岸行为的行政处罚</w:t>
            </w:r>
          </w:p>
        </w:tc>
        <w:tc>
          <w:tcPr>
            <w:tcW w:w="967" w:type="dxa"/>
            <w:vAlign w:val="center"/>
          </w:tcPr>
          <w:p w14:paraId="12C902A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797FAC8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5C7936F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1C17C5F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1B8F13BE">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1A74A66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45954454">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《甘肃省河道管理条例》第十八条第二款 城乡建设不得降低河道水系功能，不得将天然河道改为暗河（渠），不得擅自填堵、缩减原有河道沟叉、贮水湖塘洼淀和废除原有防洪堤岸；确需填堵、缩减或者废除的，应当科学论证，经有管辖权的水行政主管部门同意，报同级人民政府批准。</w:t>
            </w:r>
          </w:p>
          <w:p w14:paraId="78720E4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第三十四条 违反本条例第十八条第二款规定，将天然河道改为暗河（渠）的，由县级以上人民政府水行政主管部门责令停止违法行为，限期拆除违法建筑物、构筑物，恢复原状；逾期不拆除、不恢复原状的，强行拆除，所需费用由违法单位或者个人负担，并处一万元以上十万元以下的罚款。</w:t>
            </w:r>
          </w:p>
        </w:tc>
        <w:tc>
          <w:tcPr>
            <w:tcW w:w="1204" w:type="dxa"/>
            <w:vAlign w:val="center"/>
          </w:tcPr>
          <w:p w14:paraId="6AFA3FF5">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5951634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2DB5E909">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488A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3A4FDF08">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w:t>
            </w:r>
          </w:p>
        </w:tc>
        <w:tc>
          <w:tcPr>
            <w:tcW w:w="868" w:type="dxa"/>
            <w:vAlign w:val="center"/>
          </w:tcPr>
          <w:p w14:paraId="3E106F1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在界河河道内修建取水、引水、排水、阻水、蓄水、排渣工程及河道整治工程行为的行政强制</w:t>
            </w:r>
          </w:p>
        </w:tc>
        <w:tc>
          <w:tcPr>
            <w:tcW w:w="967" w:type="dxa"/>
            <w:vAlign w:val="center"/>
          </w:tcPr>
          <w:p w14:paraId="11A7846E">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1E735AE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7C8A8FD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39BD36D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1B645CD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7B7777E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479D0C3C">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《甘肃省河道管理条例》第二十二条 在界河河道内修建取水、引水、排水、阻水、蓄水、排渣工程及河道整治工程，应当经毗邻各方协商一致，报上级水行政主管部门批准。</w:t>
            </w:r>
          </w:p>
          <w:p w14:paraId="7E74437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第三十六条 违反本条例第二十二条规定，且《中华人民共和国防洪法》未作规定的，由县级以上人民政府水行政主管部门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204" w:type="dxa"/>
            <w:vAlign w:val="center"/>
          </w:tcPr>
          <w:p w14:paraId="0085F295">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3F44CD32">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47856564">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3CEC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548905DB">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14</w:t>
            </w:r>
          </w:p>
        </w:tc>
        <w:tc>
          <w:tcPr>
            <w:tcW w:w="868" w:type="dxa"/>
            <w:vAlign w:val="center"/>
          </w:tcPr>
          <w:p w14:paraId="6A9052A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对拒不停止违法行为造成严重水土流失行为的行政强制</w:t>
            </w:r>
          </w:p>
        </w:tc>
        <w:tc>
          <w:tcPr>
            <w:tcW w:w="967" w:type="dxa"/>
            <w:vAlign w:val="center"/>
          </w:tcPr>
          <w:p w14:paraId="6F805AE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3C6F1F9C">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446145A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0765A47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3D93F85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《中华人民共和国水土保持法》第四十四条 水政监督检查人员依法履行监督检查职责时，有权采取下列措施：</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（一）要求被检查单位或者个人提供有关文件、证照、资料；</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（二）要求被检查单位或者个人就预防和治理水土流失的有关情况作出说明；</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（三）进入现场进行调查、取证。</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被检查单位或者个人拒不停止违法行为，造成严重水土流失的，报经</w:t>
            </w:r>
            <w:r>
              <w:rPr>
                <w:rFonts w:hint="default" w:asciiTheme="minorEastAsia" w:hAnsiTheme="minorEastAsia" w:eastAsiaTheme="minorEastAsia" w:cstheme="minorEastAsia"/>
                <w:spacing w:val="1"/>
                <w:sz w:val="15"/>
                <w:szCs w:val="15"/>
                <w:lang w:val="en-US" w:eastAsia="zh-CN"/>
              </w:rPr>
              <w:t>水行政主管部门批准，可以查封、扣押实施违法行为的工具及施工机械、设备等。</w:t>
            </w:r>
          </w:p>
        </w:tc>
        <w:tc>
          <w:tcPr>
            <w:tcW w:w="1165" w:type="dxa"/>
            <w:vAlign w:val="center"/>
          </w:tcPr>
          <w:p w14:paraId="41E0D990">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5C05166B">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05371302">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70714A3E">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72675B41">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5C6C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3F65D4A5">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15</w:t>
            </w:r>
          </w:p>
        </w:tc>
        <w:tc>
          <w:tcPr>
            <w:tcW w:w="868" w:type="dxa"/>
            <w:vAlign w:val="center"/>
          </w:tcPr>
          <w:p w14:paraId="2134F9F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对逾期不清理在水土保持方案确定的专门存放地以外的区域倾倒砂、石、土、矸石、尾矿、废渣等行为的行政强制</w:t>
            </w:r>
          </w:p>
        </w:tc>
        <w:tc>
          <w:tcPr>
            <w:tcW w:w="967" w:type="dxa"/>
            <w:shd w:val="clear" w:color="auto" w:fill="auto"/>
            <w:vAlign w:val="center"/>
          </w:tcPr>
          <w:p w14:paraId="0452393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shd w:val="clear" w:color="auto" w:fill="auto"/>
            <w:vAlign w:val="center"/>
          </w:tcPr>
          <w:p w14:paraId="4079632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3C40FBF9">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02D971C">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4054BE18">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《中华人民共和国水土保持法》第五十五条 违反本法规定，在水土保持方案确定的专门存放地以外的区域倾倒砂、石、土、矸石、尾矿、废渣等的，由</w:t>
            </w:r>
            <w:r>
              <w:rPr>
                <w:rFonts w:hint="default" w:asciiTheme="minorEastAsia" w:hAnsiTheme="minorEastAsia" w:eastAsiaTheme="minorEastAsia" w:cstheme="minorEastAsia"/>
                <w:spacing w:val="1"/>
                <w:sz w:val="15"/>
                <w:szCs w:val="15"/>
                <w:lang w:val="en-US" w:eastAsia="zh-CN"/>
              </w:rPr>
              <w:t>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14:paraId="180BE484">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5A6150C7">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34D04F2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《甘肃省水土保持条例》第四十七条 违反本条例规定，开办生产建设项目或者从事其他生产建设活动造成水土流失，不进行治理的，由县级以上人民政府水土保持管理部门责令限期治理;逾期仍不治理的，可以指定有治理能力的单位代为治理，所需费用由违法行为人承担。</w:t>
            </w:r>
          </w:p>
        </w:tc>
        <w:tc>
          <w:tcPr>
            <w:tcW w:w="1204" w:type="dxa"/>
            <w:vAlign w:val="center"/>
          </w:tcPr>
          <w:p w14:paraId="0D661B24">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60AAC0BA">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02BB47F4">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0F05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29F92918">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16</w:t>
            </w:r>
          </w:p>
        </w:tc>
        <w:tc>
          <w:tcPr>
            <w:tcW w:w="868" w:type="dxa"/>
            <w:vAlign w:val="center"/>
          </w:tcPr>
          <w:p w14:paraId="2A62346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对开办生产建设项目或者从事其他生产建设活动造成水土流失逾期仍不治理，或者治理不符合国家规定的相关标准的等行为的行政强制</w:t>
            </w:r>
          </w:p>
        </w:tc>
        <w:tc>
          <w:tcPr>
            <w:tcW w:w="967" w:type="dxa"/>
            <w:vAlign w:val="center"/>
          </w:tcPr>
          <w:p w14:paraId="5FC8BDA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45527F5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3F9C8D1C">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0C49CDD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479E6A1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《中华人民共和国水土保持法》第五十六条 违反本法规定，开办生产建设项目或者从事其他生产建设活动造成水土流失，不进行治理的，由</w:t>
            </w:r>
            <w:r>
              <w:rPr>
                <w:rFonts w:hint="default" w:asciiTheme="minorEastAsia" w:hAnsiTheme="minorEastAsia" w:eastAsiaTheme="minorEastAsia" w:cstheme="minorEastAsia"/>
                <w:spacing w:val="1"/>
                <w:sz w:val="15"/>
                <w:szCs w:val="15"/>
                <w:lang w:val="en-US" w:eastAsia="zh-CN"/>
              </w:rPr>
              <w:t>县级以上人民政府水行政主管部门责令限期治理；逾期仍不治理的，县级以上人民政府水行政主管部门可以指定有治理能力的单位代为治理，所需费用由违法行为人承担。</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《中华人民共和国黄河保护法》第一百一十条 违反本法规定，在黄河流域从事生产建设活动造成水土流失未进行治理，或者治理不符合国家规定的相关标准的，由县级以上地方人民政府水行政主管部门或者黄河流域管理机构及其所属管理机构责令限期治理，对单位处二万元以上二十万元以下罚款，对个人可以处二万元以下罚款；逾期不治理的，代为治理，所需费用由违法者承担。</w:t>
            </w:r>
          </w:p>
        </w:tc>
        <w:tc>
          <w:tcPr>
            <w:tcW w:w="1165" w:type="dxa"/>
            <w:vAlign w:val="center"/>
          </w:tcPr>
          <w:p w14:paraId="41022B6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0D72F59D">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《甘肃省水土保持条例》第四十七条 违反本条例规定，开办生产建设项目或者从事其他生产建设活动造成水土流失，不进行治理的，由县级以上人民政府水土保持管理部门责令限期治理;逾期仍不治理的，可以指定有治理能力的单位代为治理，所需费用由违法行为人承担。</w:t>
            </w:r>
          </w:p>
        </w:tc>
        <w:tc>
          <w:tcPr>
            <w:tcW w:w="1204" w:type="dxa"/>
            <w:vAlign w:val="center"/>
          </w:tcPr>
          <w:p w14:paraId="7CB8F9B4">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6614A71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6175099D">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6784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4D6BBF8D">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17</w:t>
            </w:r>
          </w:p>
        </w:tc>
        <w:tc>
          <w:tcPr>
            <w:tcW w:w="868" w:type="dxa"/>
            <w:vAlign w:val="center"/>
          </w:tcPr>
          <w:p w14:paraId="54D62BE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对逾期不缴纳水土保持补偿费行为的行政强制</w:t>
            </w:r>
          </w:p>
        </w:tc>
        <w:tc>
          <w:tcPr>
            <w:tcW w:w="967" w:type="dxa"/>
            <w:vAlign w:val="center"/>
          </w:tcPr>
          <w:p w14:paraId="111E3CE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4388092C">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vAlign w:val="center"/>
          </w:tcPr>
          <w:p w14:paraId="61415BB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1E1B286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400C5F7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《中华人民共和国水土保持法》第五十七条 违反本法规定，拒不缴纳水土保持补偿费的，由</w:t>
            </w:r>
            <w:r>
              <w:rPr>
                <w:rFonts w:hint="default" w:asciiTheme="minorEastAsia" w:hAnsiTheme="minorEastAsia" w:eastAsiaTheme="minorEastAsia" w:cstheme="minorEastAsia"/>
                <w:spacing w:val="1"/>
                <w:sz w:val="15"/>
                <w:szCs w:val="15"/>
                <w:lang w:val="en-US" w:eastAsia="zh-CN"/>
              </w:rPr>
              <w:t>县级以上人民政府水行政主管部门责令限期缴纳；逾期不缴纳的，自滞纳之日起按日加收滞纳部分万分之五的滞纳金，可以处应缴水土保持补偿费三倍以下的罚款。</w:t>
            </w:r>
          </w:p>
        </w:tc>
        <w:tc>
          <w:tcPr>
            <w:tcW w:w="1165" w:type="dxa"/>
            <w:vAlign w:val="center"/>
          </w:tcPr>
          <w:p w14:paraId="618A6D83">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79284F8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《甘肃省水土保持条例》第四十八条 违反本条例规定，拒不缴纳水土保持补偿费的，由县级以上人民政府水土保持管理部门责令限期缴纳;逾期仍不缴纳的，自滞纳之日起按日加收万分之五的滞纳金，可以处应缴水土保持补偿费三倍以下的罚款。</w:t>
            </w:r>
          </w:p>
        </w:tc>
        <w:tc>
          <w:tcPr>
            <w:tcW w:w="1204" w:type="dxa"/>
            <w:vAlign w:val="center"/>
          </w:tcPr>
          <w:p w14:paraId="30CA452E">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17CB6BC8">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50E9BE9A">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1497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6BBC0BE5">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18</w:t>
            </w:r>
          </w:p>
        </w:tc>
        <w:tc>
          <w:tcPr>
            <w:tcW w:w="868" w:type="dxa"/>
            <w:vAlign w:val="center"/>
          </w:tcPr>
          <w:p w14:paraId="15ECA1E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对堆放阻碍农田水利工程设施蓄水、输水、排水的物体，擅自占用农业灌溉水源、农田水利工程设施等行为，且逾期不恢复原状或者采取补救措施行为的行政强制</w:t>
            </w:r>
          </w:p>
        </w:tc>
        <w:tc>
          <w:tcPr>
            <w:tcW w:w="967" w:type="dxa"/>
            <w:shd w:val="clear" w:color="auto" w:fill="auto"/>
            <w:vAlign w:val="center"/>
          </w:tcPr>
          <w:p w14:paraId="70D5588D">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shd w:val="clear" w:color="auto" w:fill="auto"/>
            <w:vAlign w:val="center"/>
          </w:tcPr>
          <w:p w14:paraId="3D2AFBF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03054DD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3E74B1E">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13AF073D">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189E421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《农田水利条例》第四十三条 违反本条例规定，有下列行为之一的，由</w:t>
            </w:r>
            <w:r>
              <w:rPr>
                <w:rFonts w:hint="default" w:asciiTheme="minorEastAsia" w:hAnsiTheme="minorEastAsia" w:eastAsiaTheme="minorEastAsia" w:cstheme="minorEastAsia"/>
                <w:spacing w:val="1"/>
                <w:sz w:val="15"/>
                <w:szCs w:val="15"/>
                <w:lang w:val="en-US" w:eastAsia="zh-CN"/>
              </w:rPr>
              <w:t>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（一）堆放阻碍农田水利工程设施蓄水、输水、排水的物体；</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（二）建设妨碍农田水利工程设施蓄水、输水、排水的建筑物和构筑物；</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（三）擅自占用农业灌溉水源、农田水利工程设施。</w:t>
            </w:r>
          </w:p>
        </w:tc>
        <w:tc>
          <w:tcPr>
            <w:tcW w:w="1342" w:type="dxa"/>
            <w:vAlign w:val="center"/>
          </w:tcPr>
          <w:p w14:paraId="0EF5AD5B">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51A76E6A">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74E5AD4A">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199844D4">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196F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43BC9E15">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19</w:t>
            </w:r>
          </w:p>
        </w:tc>
        <w:tc>
          <w:tcPr>
            <w:tcW w:w="868" w:type="dxa"/>
            <w:vAlign w:val="center"/>
          </w:tcPr>
          <w:p w14:paraId="3C35B199">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对水库、水电站、拦河闸坝等工程的管理单位以及其他经营工程设施的经营者拒不服从统一调度和指挥，拒不改正行为的行政强制</w:t>
            </w:r>
          </w:p>
        </w:tc>
        <w:tc>
          <w:tcPr>
            <w:tcW w:w="967" w:type="dxa"/>
            <w:shd w:val="clear" w:color="auto" w:fill="auto"/>
            <w:vAlign w:val="center"/>
          </w:tcPr>
          <w:p w14:paraId="2EF2721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shd w:val="clear" w:color="auto" w:fill="auto"/>
            <w:vAlign w:val="center"/>
          </w:tcPr>
          <w:p w14:paraId="50DD6239">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5E09E869">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BFABFF9">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37481CDC">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2126E95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《中华人民共和国抗旱条例》第六十条 违反本条例规定，水库、水电站、拦河闸坝等工程的管理单位以及其他经营工程设施的经营者拒不服从统一调度和指挥的，由</w:t>
            </w:r>
            <w:r>
              <w:rPr>
                <w:rFonts w:hint="default" w:asciiTheme="minorEastAsia" w:hAnsiTheme="minorEastAsia" w:eastAsiaTheme="minorEastAsia" w:cstheme="minorEastAsia"/>
                <w:spacing w:val="1"/>
                <w:sz w:val="15"/>
                <w:szCs w:val="15"/>
                <w:lang w:val="en-US" w:eastAsia="zh-CN"/>
              </w:rPr>
              <w:t>县级以上人民政府水行政主管部门或者流域管理机构责令改正，给予警告；拒不改正的，强制执行，处1万元以上5万元以下的罚款。</w:t>
            </w:r>
          </w:p>
        </w:tc>
        <w:tc>
          <w:tcPr>
            <w:tcW w:w="1342" w:type="dxa"/>
            <w:vAlign w:val="center"/>
          </w:tcPr>
          <w:p w14:paraId="3C58F89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5746091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5F731E47">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241D7004">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6F57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1BCB6D14">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20</w:t>
            </w:r>
          </w:p>
        </w:tc>
        <w:tc>
          <w:tcPr>
            <w:tcW w:w="868" w:type="dxa"/>
            <w:vAlign w:val="center"/>
          </w:tcPr>
          <w:p w14:paraId="0807017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对逾期不拆除擅自设立的水文测站或者在国家基本水文测站上下游建设影响水文监测的工程行为的行政强制</w:t>
            </w:r>
          </w:p>
        </w:tc>
        <w:tc>
          <w:tcPr>
            <w:tcW w:w="967" w:type="dxa"/>
            <w:shd w:val="clear" w:color="auto" w:fill="auto"/>
            <w:vAlign w:val="center"/>
          </w:tcPr>
          <w:p w14:paraId="0A1281B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shd w:val="clear" w:color="auto" w:fill="auto"/>
            <w:vAlign w:val="center"/>
          </w:tcPr>
          <w:p w14:paraId="2D4B96C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56DDCC4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15AEB1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22C56B0D">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038FBED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《中华人民共和国水文条例》第三十七条 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p w14:paraId="6FF34D8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第四十三条 本条例规定的行政处罚，由县级以上人民政府水行政主管部门或者流域管理机构依据职权决定。</w:t>
            </w:r>
          </w:p>
        </w:tc>
        <w:tc>
          <w:tcPr>
            <w:tcW w:w="1342" w:type="dxa"/>
            <w:vAlign w:val="center"/>
          </w:tcPr>
          <w:p w14:paraId="00D558CB">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43EB2C88">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3915BA3D">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21275079">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7122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720D5230">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21</w:t>
            </w:r>
          </w:p>
        </w:tc>
        <w:tc>
          <w:tcPr>
            <w:tcW w:w="868" w:type="dxa"/>
            <w:vAlign w:val="center"/>
          </w:tcPr>
          <w:p w14:paraId="29526AA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对调处水事纠纷各方或者当事人采取临时处置措施的行政强制</w:t>
            </w:r>
          </w:p>
        </w:tc>
        <w:tc>
          <w:tcPr>
            <w:tcW w:w="967" w:type="dxa"/>
            <w:shd w:val="clear" w:color="auto" w:fill="auto"/>
            <w:vAlign w:val="center"/>
          </w:tcPr>
          <w:p w14:paraId="3796FAE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shd w:val="clear" w:color="auto" w:fill="auto"/>
            <w:vAlign w:val="center"/>
          </w:tcPr>
          <w:p w14:paraId="3AE9CE0C">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高台县水务局</w:t>
            </w:r>
          </w:p>
        </w:tc>
        <w:tc>
          <w:tcPr>
            <w:tcW w:w="1046" w:type="dxa"/>
            <w:shd w:val="clear" w:color="auto" w:fill="auto"/>
            <w:vAlign w:val="center"/>
          </w:tcPr>
          <w:p w14:paraId="7C02279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A8753B8">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2188BAA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《中华人民共和国水法》第五十八条 </w:t>
            </w:r>
            <w:r>
              <w:rPr>
                <w:rFonts w:hint="default" w:asciiTheme="minorEastAsia" w:hAnsiTheme="minorEastAsia" w:eastAsiaTheme="minorEastAsia" w:cstheme="minorEastAsia"/>
                <w:spacing w:val="1"/>
                <w:sz w:val="15"/>
                <w:szCs w:val="15"/>
                <w:lang w:val="en-US" w:eastAsia="zh-CN"/>
              </w:rPr>
              <w:t>县级以上人民政府或者其授权的部门在处理水事纠纷时，有权采取临时处置措施，有关各方或者当事人必须服从。</w:t>
            </w:r>
            <w:r>
              <w:rPr>
                <w:rFonts w:hint="default" w:asciiTheme="minorEastAsia" w:hAnsiTheme="minorEastAsia" w:eastAsiaTheme="minorEastAsia" w:cstheme="minorEastAsia"/>
                <w:spacing w:val="1"/>
                <w:sz w:val="15"/>
                <w:szCs w:val="15"/>
                <w:lang w:val="en-US" w:eastAsia="zh-CN"/>
              </w:rPr>
              <w:br w:type="textWrapping"/>
            </w:r>
          </w:p>
        </w:tc>
        <w:tc>
          <w:tcPr>
            <w:tcW w:w="1165" w:type="dxa"/>
            <w:vAlign w:val="center"/>
          </w:tcPr>
          <w:p w14:paraId="58106178">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《中华人民共和国防汛条例》第十九条 地区之间在防汛抗洪方面发生的水事纠纷，由发生纠纷地区共同的上一级人民政府或其授权的主管部门处理。</w:t>
            </w:r>
          </w:p>
          <w:p w14:paraId="755652C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前款所指人民政府或者部门在处理防汛抗洪方面的水事纠纷时，有权采取临时紧急处置措施，有关当事各方必须服从并贯彻执行。</w:t>
            </w:r>
          </w:p>
        </w:tc>
        <w:tc>
          <w:tcPr>
            <w:tcW w:w="1342" w:type="dxa"/>
            <w:vAlign w:val="center"/>
          </w:tcPr>
          <w:p w14:paraId="2B16F25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41206920">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6F6BEF38">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64A66C3A">
            <w:pPr>
              <w:spacing w:line="240" w:lineRule="exact"/>
              <w:jc w:val="center"/>
              <w:rPr>
                <w:rFonts w:hint="eastAsia" w:asciiTheme="minorEastAsia" w:hAnsiTheme="minorEastAsia" w:eastAsiaTheme="minorEastAsia" w:cstheme="minorEastAsia"/>
                <w:spacing w:val="1"/>
                <w:sz w:val="15"/>
                <w:szCs w:val="15"/>
                <w:lang w:val="en-US" w:eastAsia="zh-CN"/>
              </w:rPr>
            </w:pPr>
          </w:p>
        </w:tc>
      </w:tr>
    </w:tbl>
    <w:p w14:paraId="2D1A8A41">
      <w:pPr>
        <w:spacing w:line="240" w:lineRule="exact"/>
        <w:jc w:val="left"/>
        <w:rPr>
          <w:rFonts w:ascii="黑体" w:hAnsi="黑体" w:eastAsia="黑体" w:cs="黑体"/>
          <w:spacing w:val="1"/>
          <w:sz w:val="18"/>
          <w:szCs w:val="18"/>
        </w:rPr>
      </w:pPr>
      <w:r>
        <w:rPr>
          <w:rFonts w:hint="eastAsia" w:ascii="黑体" w:hAnsi="黑体" w:eastAsia="黑体" w:cs="黑体"/>
          <w:spacing w:val="1"/>
          <w:sz w:val="18"/>
          <w:szCs w:val="18"/>
        </w:rPr>
        <w:t>填表说明：</w:t>
      </w:r>
    </w:p>
    <w:p w14:paraId="457D28F2">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1.事项名称，事项名称应与法律法规要求保持一致，确保科学、严谨、规范。</w:t>
      </w:r>
    </w:p>
    <w:p w14:paraId="10E76016">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2.事项类型，行政执法事项类型为行政处罚、行政强制、行政检查。</w:t>
      </w:r>
    </w:p>
    <w:p w14:paraId="11F55C8F">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3.执法部门，执法部门要与法律、法规和规章等明确的执法责任主体以及部门权责清单、“三定”方案明确的执法责任主体保持一致。</w:t>
      </w:r>
    </w:p>
    <w:p w14:paraId="76FA8009">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4.执法领域，执法领域包括城市管理、市场监管、生态环境、文化市场、交通运输、应急管理、农业</w:t>
      </w:r>
      <w:r>
        <w:rPr>
          <w:rFonts w:hint="eastAsia" w:asciiTheme="minorEastAsia" w:hAnsiTheme="minorEastAsia" w:cstheme="minorEastAsia"/>
          <w:spacing w:val="1"/>
          <w:sz w:val="18"/>
          <w:szCs w:val="18"/>
        </w:rPr>
        <w:t>农村</w:t>
      </w:r>
      <w:r>
        <w:rPr>
          <w:rFonts w:hint="eastAsia" w:asciiTheme="minorEastAsia" w:hAnsiTheme="minorEastAsia" w:eastAsiaTheme="minorEastAsia" w:cstheme="minorEastAsia"/>
          <w:spacing w:val="1"/>
          <w:sz w:val="18"/>
          <w:szCs w:val="18"/>
        </w:rPr>
        <w:t>等领域。</w:t>
      </w:r>
    </w:p>
    <w:p w14:paraId="6B6B5301">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5.执法依据，按照现行有效法律、行政法规、地方性法规、部门规章、政府规章不同法律位阶分别填写，要完整填写所涉及法律、法规、规章的全称并重点列明具体条款项目。</w:t>
      </w:r>
    </w:p>
    <w:p w14:paraId="50193975">
      <w:pPr>
        <w:spacing w:line="240" w:lineRule="exact"/>
        <w:ind w:firstLine="364" w:firstLineChars="200"/>
        <w:jc w:val="left"/>
        <w:rPr>
          <w:rFonts w:ascii="仿宋_GB2312" w:eastAsia="仿宋_GB2312"/>
        </w:rPr>
        <w:sectPr>
          <w:footerReference r:id="rId3" w:type="default"/>
          <w:pgSz w:w="16838" w:h="11906" w:orient="landscape"/>
          <w:pgMar w:top="1588" w:right="1644" w:bottom="1474" w:left="1531" w:header="851" w:footer="1417" w:gutter="0"/>
          <w:pgNumType w:fmt="numberInDash"/>
          <w:cols w:space="425" w:num="1"/>
          <w:docGrid w:type="lines" w:linePitch="312" w:charSpace="0"/>
        </w:sectPr>
      </w:pPr>
      <w:r>
        <w:rPr>
          <w:rFonts w:hint="eastAsia" w:asciiTheme="minorEastAsia" w:hAnsiTheme="minorEastAsia" w:eastAsiaTheme="minorEastAsia" w:cstheme="minorEastAsia"/>
          <w:spacing w:val="1"/>
          <w:sz w:val="18"/>
          <w:szCs w:val="18"/>
        </w:rPr>
        <w:t>6.</w:t>
      </w:r>
      <w:r>
        <w:rPr>
          <w:rFonts w:hint="eastAsia" w:asciiTheme="minorEastAsia" w:hAnsiTheme="minorEastAsia" w:cstheme="minorEastAsia"/>
          <w:spacing w:val="1"/>
          <w:sz w:val="18"/>
          <w:szCs w:val="18"/>
        </w:rPr>
        <w:t>委托</w:t>
      </w:r>
      <w:r>
        <w:rPr>
          <w:rFonts w:hint="eastAsia" w:asciiTheme="minorEastAsia" w:hAnsiTheme="minorEastAsia" w:eastAsiaTheme="minorEastAsia" w:cstheme="minorEastAsia"/>
          <w:spacing w:val="1"/>
          <w:sz w:val="18"/>
          <w:szCs w:val="18"/>
        </w:rPr>
        <w:t>执法</w:t>
      </w:r>
      <w:r>
        <w:rPr>
          <w:rFonts w:hint="eastAsia" w:asciiTheme="minorEastAsia" w:hAnsiTheme="minorEastAsia" w:cstheme="minorEastAsia"/>
          <w:spacing w:val="1"/>
          <w:sz w:val="18"/>
          <w:szCs w:val="18"/>
        </w:rPr>
        <w:t>事项</w:t>
      </w:r>
      <w:r>
        <w:rPr>
          <w:rFonts w:hint="eastAsia" w:asciiTheme="minorEastAsia" w:hAnsiTheme="minorEastAsia" w:eastAsiaTheme="minorEastAsia" w:cstheme="minorEastAsia"/>
          <w:spacing w:val="1"/>
          <w:sz w:val="18"/>
          <w:szCs w:val="18"/>
        </w:rPr>
        <w:t>，对以委托形式的执法事项，应保留在委托部门的执法事项目录清单中，执法部门栏列明委托的单位名称，备注栏填写具体行使该项行政权力的受委托单位，并注明“委托执法”。</w:t>
      </w:r>
    </w:p>
    <w:p w14:paraId="744D066A">
      <w:pPr>
        <w:tabs>
          <w:tab w:val="left" w:pos="269"/>
        </w:tabs>
        <w:spacing w:line="560" w:lineRule="exact"/>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column">
                  <wp:posOffset>779145</wp:posOffset>
                </wp:positionH>
                <wp:positionV relativeFrom="paragraph">
                  <wp:posOffset>9648190</wp:posOffset>
                </wp:positionV>
                <wp:extent cx="6049645" cy="0"/>
                <wp:effectExtent l="0" t="19050" r="8255"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41275">
                          <a:solidFill>
                            <a:srgbClr val="FF0000"/>
                          </a:solidFill>
                          <a:round/>
                        </a:ln>
                      </wps:spPr>
                      <wps:bodyPr/>
                    </wps:wsp>
                  </a:graphicData>
                </a:graphic>
              </wp:anchor>
            </w:drawing>
          </mc:Choice>
          <mc:Fallback>
            <w:pict>
              <v:shape id="_x0000_s1026" o:spid="_x0000_s1026" o:spt="32" type="#_x0000_t32" style="position:absolute;left:0pt;margin-left:61.35pt;margin-top:759.7pt;height:0pt;width:476.35pt;z-index:251663360;mso-width-relative:page;mso-height-relative:page;" filled="f" stroked="t" coordsize="21600,21600" o:gfxdata="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NPk9gAAAAOAQAADwAAAAAAAAABACAAAAAiAAAAZHJzL2Rvd25yZXYueG1s&#10;UEsBAhQAFAAAAAgAh07iQDxz0hf4AQAAvwMAAA4AAAAAAAAAAQAgAAAAJwEAAGRycy9lMm9Eb2Mu&#10;eG1sUEsFBgAAAAAGAAYAWQEAAJEFAAAAAA==&#10;">
                <v:fill on="f" focussize="0,0"/>
                <v:stroke weight="3.25pt" color="#FF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779145</wp:posOffset>
                </wp:positionH>
                <wp:positionV relativeFrom="paragraph">
                  <wp:posOffset>9571990</wp:posOffset>
                </wp:positionV>
                <wp:extent cx="6049645" cy="0"/>
                <wp:effectExtent l="0" t="0" r="27305"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61.35pt;margin-top:753.7pt;height:0pt;width:476.35pt;z-index:251662336;mso-width-relative:page;mso-height-relative:page;" filled="f" stroked="t" coordsize="21600,21600" o:gfxdata="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o2kzdcAAAAOAQAADwAAAAAAAAABACAAAAAiAAAAZHJzL2Rvd25yZXYueG1sUEsB&#10;AhQAFAAAAAgAh07iQIhU5zL2AQAAvwMAAA4AAAAAAAAAAQAgAAAAJgEAAGRycy9lMm9Eb2MueG1s&#10;UEsFBgAAAAAGAAYAWQEAAI4FAAAAAA==&#10;">
                <v:fill on="f" focussize="0,0"/>
                <v:stroke weight="1.5pt" color="#FF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779145</wp:posOffset>
                </wp:positionH>
                <wp:positionV relativeFrom="paragraph">
                  <wp:posOffset>9648190</wp:posOffset>
                </wp:positionV>
                <wp:extent cx="6049645" cy="0"/>
                <wp:effectExtent l="0" t="19050" r="8255" b="1905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41275">
                          <a:solidFill>
                            <a:srgbClr val="FF0000"/>
                          </a:solidFill>
                          <a:round/>
                        </a:ln>
                      </wps:spPr>
                      <wps:bodyPr/>
                    </wps:wsp>
                  </a:graphicData>
                </a:graphic>
              </wp:anchor>
            </w:drawing>
          </mc:Choice>
          <mc:Fallback>
            <w:pict>
              <v:shape id="_x0000_s1026" o:spid="_x0000_s1026" o:spt="32" type="#_x0000_t32" style="position:absolute;left:0pt;margin-left:61.35pt;margin-top:759.7pt;height:0pt;width:476.35pt;z-index:251661312;mso-width-relative:page;mso-height-relative:page;" filled="f" stroked="t" coordsize="21600,21600" o:gfxdata="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NPk9gAAAAOAQAADwAAAAAAAAABACAAAAAiAAAAZHJzL2Rvd25yZXYueG1s&#10;UEsBAhQAFAAAAAgAh07iQNV/ZLH4AQAAvwMAAA4AAAAAAAAAAQAgAAAAJwEAAGRycy9lMm9Eb2Mu&#10;eG1sUEsFBgAAAAAGAAYAWQEAAJEFAAAAAA==&#10;">
                <v:fill on="f" focussize="0,0"/>
                <v:stroke weight="3.25pt" color="#FF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9571990</wp:posOffset>
                </wp:positionV>
                <wp:extent cx="6049645" cy="0"/>
                <wp:effectExtent l="0" t="0" r="27305" b="1905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61.35pt;margin-top:753.7pt;height:0pt;width:476.35pt;z-index:251660288;mso-width-relative:page;mso-height-relative:page;" filled="f" stroked="t" coordsize="21600,21600" o:gfxdata="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jaTN1wAAAA4BAAAPAAAAAAAAAAEAIAAAACIAAABkcnMvZG93bnJldi54bWxQ&#10;SwECFAAUAAAACACHTuJAL6+KUPgBAAC/AwAADgAAAAAAAAABACAAAAAmAQAAZHJzL2Uyb0RvYy54&#10;bWxQSwUGAAAAAAYABgBZAQAAkAUAAAAA&#10;">
                <v:fill on="f" focussize="0,0"/>
                <v:stroke weight="1.5pt" color="#FF0000" joinstyle="round"/>
                <v:imagedata o:title=""/>
                <o:lock v:ext="edit" aspectratio="f"/>
              </v:shape>
            </w:pict>
          </mc:Fallback>
        </mc:AlternateContent>
      </w:r>
    </w:p>
    <w:sectPr>
      <w:pgSz w:w="11906" w:h="16838"/>
      <w:pgMar w:top="2098" w:right="1474" w:bottom="1985" w:left="1588"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D9ED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164E3">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18164E3">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ZjA3YTY2ZjEwNzZhZDZlZDE1ZjQ4ZGViNDcwNTAifQ=="/>
  </w:docVars>
  <w:rsids>
    <w:rsidRoot w:val="00880869"/>
    <w:rsid w:val="00192DD6"/>
    <w:rsid w:val="002402B7"/>
    <w:rsid w:val="00536A9D"/>
    <w:rsid w:val="00566489"/>
    <w:rsid w:val="00795AF1"/>
    <w:rsid w:val="00880869"/>
    <w:rsid w:val="00A33866"/>
    <w:rsid w:val="00B22A39"/>
    <w:rsid w:val="00BC3529"/>
    <w:rsid w:val="00C24EDB"/>
    <w:rsid w:val="00D14396"/>
    <w:rsid w:val="00D75F36"/>
    <w:rsid w:val="00E3066D"/>
    <w:rsid w:val="00E3135A"/>
    <w:rsid w:val="00E705BC"/>
    <w:rsid w:val="00EF0047"/>
    <w:rsid w:val="00F27A1A"/>
    <w:rsid w:val="05EE4D5E"/>
    <w:rsid w:val="07B03E85"/>
    <w:rsid w:val="16EF0A61"/>
    <w:rsid w:val="17E0104B"/>
    <w:rsid w:val="2300408F"/>
    <w:rsid w:val="25D86356"/>
    <w:rsid w:val="3AA65EB1"/>
    <w:rsid w:val="48E24BBA"/>
    <w:rsid w:val="4CB13B3B"/>
    <w:rsid w:val="53205222"/>
    <w:rsid w:val="683A7585"/>
    <w:rsid w:val="68F97ECC"/>
    <w:rsid w:val="69334DEF"/>
    <w:rsid w:val="6CF86F20"/>
    <w:rsid w:val="7354776A"/>
    <w:rsid w:val="7F544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ody Text Indent 2"/>
    <w:basedOn w:val="1"/>
    <w:link w:val="9"/>
    <w:semiHidden/>
    <w:unhideWhenUsed/>
    <w:qFormat/>
    <w:uiPriority w:val="99"/>
    <w:pPr>
      <w:spacing w:after="120" w:line="480" w:lineRule="auto"/>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2 Char"/>
    <w:basedOn w:val="8"/>
    <w:link w:val="3"/>
    <w:semiHidden/>
    <w:qFormat/>
    <w:uiPriority w:val="99"/>
    <w:rPr>
      <w:rFonts w:ascii="Times New Roman" w:hAnsi="Times New Roman" w:eastAsia="宋体" w:cs="Times New Roman"/>
      <w:szCs w:val="24"/>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日期 Char"/>
    <w:basedOn w:val="8"/>
    <w:link w:val="2"/>
    <w:semiHidden/>
    <w:qFormat/>
    <w:uiPriority w:val="99"/>
    <w:rPr>
      <w:rFonts w:ascii="Times New Roman" w:hAnsi="Times New Roman" w:eastAsia="宋体" w:cs="Times New Roman"/>
      <w:szCs w:val="24"/>
    </w:rPr>
  </w:style>
  <w:style w:type="paragraph" w:customStyle="1" w:styleId="13">
    <w:name w:val="Table Text"/>
    <w:basedOn w:val="1"/>
    <w:semiHidden/>
    <w:qFormat/>
    <w:uiPriority w:val="0"/>
    <w:rPr>
      <w:rFonts w:ascii="宋体" w:hAnsi="宋体" w:cs="宋体"/>
      <w:sz w:val="18"/>
      <w:szCs w:val="18"/>
      <w:lang w:eastAsia="en-US"/>
    </w:rPr>
  </w:style>
  <w:style w:type="character" w:customStyle="1" w:styleId="14">
    <w:name w:val="font31"/>
    <w:qFormat/>
    <w:uiPriority w:val="0"/>
    <w:rPr>
      <w:rFonts w:hint="eastAsia" w:ascii="宋体" w:hAnsi="宋体" w:eastAsia="宋体" w:cs="宋体"/>
      <w:b/>
      <w:color w:val="000000"/>
      <w:sz w:val="22"/>
      <w:szCs w:val="22"/>
      <w:u w:val="none"/>
    </w:rPr>
  </w:style>
  <w:style w:type="character" w:customStyle="1" w:styleId="15">
    <w:name w:val="font41"/>
    <w:qFormat/>
    <w:uiPriority w:val="0"/>
    <w:rPr>
      <w:rFonts w:hint="eastAsia" w:ascii="宋体" w:hAnsi="宋体" w:eastAsia="宋体" w:cs="宋体"/>
      <w:color w:val="000000"/>
      <w:sz w:val="22"/>
      <w:szCs w:val="22"/>
      <w:u w:val="none"/>
    </w:rPr>
  </w:style>
  <w:style w:type="character" w:customStyle="1" w:styleId="16">
    <w:name w:val="font13"/>
    <w:qFormat/>
    <w:uiPriority w:val="0"/>
    <w:rPr>
      <w:rFonts w:hint="default" w:ascii="Nimbus Roman No9 L" w:hAnsi="Nimbus Roman No9 L" w:eastAsia="Nimbus Roman No9 L" w:cs="Nimbus Roman No9 L"/>
      <w:color w:val="000000"/>
      <w:sz w:val="22"/>
      <w:szCs w:val="22"/>
      <w:u w:val="none"/>
    </w:rPr>
  </w:style>
  <w:style w:type="character" w:customStyle="1" w:styleId="17">
    <w:name w:val="font1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8526</Words>
  <Characters>8550</Characters>
  <Lines>7</Lines>
  <Paragraphs>2</Paragraphs>
  <TotalTime>2</TotalTime>
  <ScaleCrop>false</ScaleCrop>
  <LinksUpToDate>false</LinksUpToDate>
  <CharactersWithSpaces>8655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2024-02-20T04:08:00Z</dcterms:created>
  <dc:creator>李红霞</dc:creator>
  <cp:lastModifiedBy>小丑</cp:lastModifiedBy>
  <cp:lastPrinted>2024-11-22T01:02:14Z</cp:lastPrinted>
  <dcterms:modified xsi:type="dcterms:W3CDTF">2024-11-22T01:02:30Z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4C8C814CF9FA41E890D838D51971D112_12</vt:lpwstr>
  </property>
</Properties>
</file>