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sz w:val="36"/>
          <w:szCs w:val="36"/>
        </w:rPr>
      </w:pPr>
      <w:r>
        <w:rPr>
          <w:rFonts w:hint="eastAsia" w:ascii="黑体" w:hAnsi="黑体" w:eastAsia="黑体"/>
          <w:sz w:val="32"/>
          <w:szCs w:val="32"/>
        </w:rPr>
        <w:t>附件</w:t>
      </w:r>
      <w:r>
        <w:rPr>
          <w:rFonts w:ascii="黑体" w:hAnsi="黑体" w:eastAsia="黑体"/>
          <w:sz w:val="32"/>
          <w:szCs w:val="32"/>
        </w:rPr>
        <w:t>3</w:t>
      </w:r>
    </w:p>
    <w:p>
      <w:pPr>
        <w:spacing w:line="36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2</w:t>
      </w:r>
      <w:r>
        <w:rPr>
          <w:rFonts w:ascii="方正小标宋简体" w:eastAsia="方正小标宋简体"/>
          <w:sz w:val="36"/>
          <w:szCs w:val="36"/>
        </w:rPr>
        <w:t>021</w:t>
      </w:r>
      <w:r>
        <w:rPr>
          <w:rFonts w:hint="eastAsia" w:ascii="方正小标宋简体" w:eastAsia="方正小标宋简体"/>
          <w:sz w:val="36"/>
          <w:szCs w:val="36"/>
        </w:rPr>
        <w:t>年高台县中小学教育信息化应用典型案例评价指标</w:t>
      </w:r>
      <w:bookmarkEnd w:id="0"/>
    </w:p>
    <w:p>
      <w:pPr>
        <w:spacing w:line="360" w:lineRule="exact"/>
        <w:ind w:firstLine="1120" w:firstLineChars="400"/>
        <w:rPr>
          <w:rFonts w:ascii="仿宋_GB2312" w:eastAsia="仿宋_GB2312"/>
          <w:sz w:val="28"/>
          <w:szCs w:val="28"/>
        </w:rPr>
      </w:pPr>
    </w:p>
    <w:p>
      <w:pPr>
        <w:spacing w:line="360" w:lineRule="exact"/>
        <w:ind w:firstLine="1120" w:firstLineChars="400"/>
        <w:rPr>
          <w:rFonts w:ascii="仿宋_GB2312" w:eastAsia="仿宋_GB2312"/>
          <w:sz w:val="28"/>
          <w:szCs w:val="28"/>
        </w:rPr>
      </w:pPr>
      <w:r>
        <w:rPr>
          <w:rFonts w:hint="eastAsia" w:ascii="仿宋_GB2312" w:eastAsia="仿宋_GB2312"/>
          <w:sz w:val="28"/>
          <w:szCs w:val="28"/>
        </w:rPr>
        <w:t xml:space="preserve">学校： </w:t>
      </w:r>
      <w:r>
        <w:rPr>
          <w:rFonts w:ascii="仿宋_GB2312" w:eastAsia="仿宋_GB2312"/>
          <w:sz w:val="28"/>
          <w:szCs w:val="28"/>
        </w:rPr>
        <w:t xml:space="preserve">                                                        </w:t>
      </w:r>
      <w:r>
        <w:rPr>
          <w:rFonts w:hint="eastAsia" w:ascii="仿宋_GB2312" w:eastAsia="仿宋_GB2312"/>
          <w:sz w:val="28"/>
          <w:szCs w:val="28"/>
        </w:rPr>
        <w:t>案例名称：</w:t>
      </w:r>
    </w:p>
    <w:tbl>
      <w:tblPr>
        <w:tblStyle w:val="2"/>
        <w:tblW w:w="14721"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276"/>
        <w:gridCol w:w="8767"/>
        <w:gridCol w:w="25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18" w:type="dxa"/>
            <w:shd w:val="clear" w:color="auto" w:fill="auto"/>
            <w:noWrap w:val="0"/>
            <w:vAlign w:val="center"/>
          </w:tcPr>
          <w:p>
            <w:pPr>
              <w:spacing w:line="300" w:lineRule="exact"/>
              <w:jc w:val="center"/>
              <w:rPr>
                <w:rFonts w:hint="eastAsia" w:ascii="仿宋_GB2312" w:eastAsia="仿宋_GB2312"/>
                <w:b/>
                <w:bCs/>
                <w:sz w:val="24"/>
              </w:rPr>
            </w:pPr>
            <w:r>
              <w:rPr>
                <w:rFonts w:hint="eastAsia" w:ascii="仿宋_GB2312" w:eastAsia="仿宋_GB2312"/>
                <w:b/>
                <w:bCs/>
                <w:sz w:val="24"/>
              </w:rPr>
              <w:t>一级指标</w:t>
            </w:r>
          </w:p>
        </w:tc>
        <w:tc>
          <w:tcPr>
            <w:tcW w:w="1276" w:type="dxa"/>
            <w:shd w:val="clear" w:color="auto" w:fill="auto"/>
            <w:noWrap w:val="0"/>
            <w:vAlign w:val="center"/>
          </w:tcPr>
          <w:p>
            <w:pPr>
              <w:spacing w:line="300" w:lineRule="exact"/>
              <w:jc w:val="center"/>
              <w:rPr>
                <w:rFonts w:hint="eastAsia" w:ascii="仿宋_GB2312" w:eastAsia="仿宋_GB2312"/>
                <w:b/>
                <w:bCs/>
                <w:sz w:val="24"/>
              </w:rPr>
            </w:pPr>
            <w:r>
              <w:rPr>
                <w:rFonts w:hint="eastAsia" w:ascii="仿宋_GB2312" w:eastAsia="仿宋_GB2312"/>
                <w:b/>
                <w:bCs/>
                <w:sz w:val="24"/>
              </w:rPr>
              <w:t>二级指标</w:t>
            </w:r>
          </w:p>
        </w:tc>
        <w:tc>
          <w:tcPr>
            <w:tcW w:w="8767" w:type="dxa"/>
            <w:shd w:val="clear" w:color="auto" w:fill="auto"/>
            <w:noWrap w:val="0"/>
            <w:vAlign w:val="top"/>
          </w:tcPr>
          <w:p>
            <w:pPr>
              <w:spacing w:line="300" w:lineRule="exact"/>
              <w:jc w:val="center"/>
              <w:rPr>
                <w:rFonts w:hint="eastAsia" w:ascii="仿宋_GB2312" w:eastAsia="仿宋_GB2312"/>
                <w:b/>
                <w:bCs/>
                <w:sz w:val="24"/>
              </w:rPr>
            </w:pPr>
            <w:r>
              <w:rPr>
                <w:rFonts w:hint="eastAsia" w:ascii="仿宋_GB2312" w:eastAsia="仿宋_GB2312"/>
                <w:b/>
                <w:bCs/>
                <w:sz w:val="24"/>
              </w:rPr>
              <w:t>指标描述</w:t>
            </w:r>
          </w:p>
        </w:tc>
        <w:tc>
          <w:tcPr>
            <w:tcW w:w="2551" w:type="dxa"/>
            <w:shd w:val="clear" w:color="auto" w:fill="auto"/>
            <w:noWrap w:val="0"/>
            <w:vAlign w:val="center"/>
          </w:tcPr>
          <w:p>
            <w:pPr>
              <w:spacing w:line="300" w:lineRule="exact"/>
              <w:jc w:val="center"/>
              <w:rPr>
                <w:rFonts w:hint="eastAsia" w:ascii="仿宋_GB2312" w:eastAsia="仿宋_GB2312"/>
                <w:b/>
                <w:bCs/>
                <w:sz w:val="24"/>
              </w:rPr>
            </w:pPr>
            <w:r>
              <w:rPr>
                <w:rFonts w:hint="eastAsia" w:ascii="仿宋_GB2312" w:eastAsia="仿宋_GB2312"/>
                <w:b/>
                <w:bCs/>
                <w:sz w:val="24"/>
              </w:rPr>
              <w:t>评价方式</w:t>
            </w:r>
          </w:p>
        </w:tc>
        <w:tc>
          <w:tcPr>
            <w:tcW w:w="709" w:type="dxa"/>
            <w:noWrap w:val="0"/>
            <w:vAlign w:val="top"/>
          </w:tcPr>
          <w:p>
            <w:pPr>
              <w:spacing w:line="300" w:lineRule="exact"/>
              <w:jc w:val="center"/>
              <w:rPr>
                <w:rFonts w:hint="eastAsia" w:ascii="仿宋_GB2312" w:eastAsia="仿宋_GB2312"/>
                <w:b/>
                <w:bCs/>
                <w:sz w:val="24"/>
              </w:rPr>
            </w:pPr>
            <w:r>
              <w:rPr>
                <w:rFonts w:hint="eastAsia" w:ascii="仿宋_GB2312" w:eastAsia="仿宋_GB2312"/>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18" w:type="dxa"/>
            <w:vMerge w:val="restart"/>
            <w:shd w:val="clear" w:color="auto" w:fill="auto"/>
            <w:noWrap w:val="0"/>
            <w:vAlign w:val="center"/>
          </w:tcPr>
          <w:p>
            <w:pPr>
              <w:spacing w:line="300" w:lineRule="exact"/>
              <w:jc w:val="center"/>
              <w:rPr>
                <w:rFonts w:ascii="仿宋_GB2312" w:eastAsia="仿宋_GB2312"/>
                <w:sz w:val="24"/>
              </w:rPr>
            </w:pPr>
            <w:r>
              <w:rPr>
                <w:rFonts w:hint="eastAsia" w:ascii="仿宋_GB2312" w:eastAsia="仿宋_GB2312"/>
                <w:sz w:val="24"/>
              </w:rPr>
              <w:t>理念与规划</w:t>
            </w:r>
          </w:p>
          <w:p>
            <w:pPr>
              <w:spacing w:line="300" w:lineRule="exact"/>
              <w:jc w:val="center"/>
              <w:rPr>
                <w:rFonts w:hint="eastAsia" w:ascii="仿宋_GB2312" w:eastAsia="仿宋_GB2312"/>
                <w:sz w:val="24"/>
              </w:rPr>
            </w:pPr>
            <w:r>
              <w:rPr>
                <w:rFonts w:ascii="仿宋_GB2312" w:eastAsia="仿宋_GB2312"/>
                <w:sz w:val="24"/>
              </w:rPr>
              <w:t>(15分）</w:t>
            </w: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规划制度</w:t>
            </w:r>
            <w:r>
              <w:rPr>
                <w:rFonts w:ascii="仿宋_GB2312" w:eastAsia="仿宋_GB2312"/>
                <w:sz w:val="24"/>
              </w:rPr>
              <w:t>(5分）</w:t>
            </w:r>
          </w:p>
        </w:tc>
        <w:tc>
          <w:tcPr>
            <w:tcW w:w="8767" w:type="dxa"/>
            <w:shd w:val="clear" w:color="auto" w:fill="auto"/>
            <w:noWrap w:val="0"/>
            <w:vAlign w:val="top"/>
          </w:tcPr>
          <w:p>
            <w:pPr>
              <w:spacing w:line="300" w:lineRule="exact"/>
              <w:jc w:val="left"/>
              <w:rPr>
                <w:rFonts w:hint="eastAsia" w:ascii="仿宋_GB2312" w:eastAsia="仿宋_GB2312"/>
                <w:sz w:val="24"/>
              </w:rPr>
            </w:pPr>
            <w:r>
              <w:rPr>
                <w:rFonts w:hint="eastAsia" w:ascii="仿宋_GB2312" w:eastAsia="仿宋_GB2312"/>
                <w:sz w:val="24"/>
              </w:rPr>
              <w:t>根据</w:t>
            </w:r>
            <w:r>
              <w:rPr>
                <w:rFonts w:ascii="仿宋_GB2312" w:eastAsia="仿宋_GB2312"/>
                <w:sz w:val="24"/>
              </w:rPr>
              <w:t xml:space="preserve"> “立德树人” 的总体要求和学校办学实际，制定教育信息化发展规划（行动计划）和保障制度，推进信息技术在教</w:t>
            </w:r>
            <w:r>
              <w:rPr>
                <w:rFonts w:hint="eastAsia" w:ascii="仿宋_GB2312" w:eastAsia="仿宋_GB2312"/>
                <w:sz w:val="24"/>
              </w:rPr>
              <w:t>学、管理、教研、家校沟通等方面的全面融合</w:t>
            </w:r>
            <w:r>
              <w:rPr>
                <w:rFonts w:ascii="仿宋_GB2312" w:eastAsia="仿宋_GB2312"/>
                <w:sz w:val="24"/>
              </w:rPr>
              <w:t>，</w:t>
            </w:r>
            <w:r>
              <w:rPr>
                <w:rFonts w:hint="eastAsia" w:ascii="仿宋_GB2312" w:eastAsia="仿宋_GB2312"/>
                <w:sz w:val="24"/>
              </w:rPr>
              <w:t>案例内容被列入规划重点工作</w:t>
            </w:r>
            <w:r>
              <w:rPr>
                <w:rFonts w:ascii="仿宋_GB2312" w:eastAsia="仿宋_GB2312"/>
                <w:sz w:val="24"/>
              </w:rPr>
              <w:t>。</w:t>
            </w:r>
          </w:p>
        </w:tc>
        <w:tc>
          <w:tcPr>
            <w:tcW w:w="2551" w:type="dxa"/>
            <w:shd w:val="clear" w:color="auto" w:fill="auto"/>
            <w:noWrap w:val="0"/>
            <w:vAlign w:val="center"/>
          </w:tcPr>
          <w:p>
            <w:pPr>
              <w:spacing w:line="300" w:lineRule="exact"/>
              <w:jc w:val="left"/>
              <w:rPr>
                <w:rFonts w:hint="eastAsia" w:ascii="仿宋_GB2312" w:eastAsia="仿宋_GB2312"/>
                <w:sz w:val="24"/>
              </w:rPr>
            </w:pPr>
            <w:r>
              <w:rPr>
                <w:rFonts w:hint="eastAsia" w:ascii="仿宋_GB2312" w:eastAsia="仿宋_GB2312"/>
                <w:sz w:val="24"/>
              </w:rPr>
              <w:t>查规划、要点、制度是否保障案例实施</w:t>
            </w:r>
          </w:p>
        </w:tc>
        <w:tc>
          <w:tcPr>
            <w:tcW w:w="709" w:type="dxa"/>
            <w:noWrap w:val="0"/>
            <w:vAlign w:val="top"/>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Merge w:val="continue"/>
            <w:shd w:val="clear" w:color="auto" w:fill="auto"/>
            <w:noWrap w:val="0"/>
            <w:vAlign w:val="center"/>
          </w:tcPr>
          <w:p>
            <w:pPr>
              <w:spacing w:line="300" w:lineRule="exact"/>
              <w:jc w:val="center"/>
              <w:rPr>
                <w:rFonts w:hint="eastAsia" w:ascii="仿宋_GB2312" w:eastAsia="仿宋_GB2312"/>
                <w:sz w:val="24"/>
              </w:rPr>
            </w:pP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队伍建设</w:t>
            </w:r>
            <w:r>
              <w:rPr>
                <w:rFonts w:ascii="仿宋_GB2312" w:eastAsia="仿宋_GB2312"/>
                <w:sz w:val="24"/>
              </w:rPr>
              <w:t>(5分）</w:t>
            </w:r>
          </w:p>
        </w:tc>
        <w:tc>
          <w:tcPr>
            <w:tcW w:w="8767" w:type="dxa"/>
            <w:shd w:val="clear" w:color="auto" w:fill="auto"/>
            <w:noWrap w:val="0"/>
            <w:vAlign w:val="top"/>
          </w:tcPr>
          <w:p>
            <w:pPr>
              <w:spacing w:line="300" w:lineRule="exact"/>
              <w:jc w:val="left"/>
              <w:rPr>
                <w:rFonts w:hint="eastAsia" w:ascii="仿宋_GB2312" w:eastAsia="仿宋_GB2312"/>
                <w:sz w:val="24"/>
              </w:rPr>
            </w:pPr>
            <w:r>
              <w:rPr>
                <w:rFonts w:hint="eastAsia" w:ascii="仿宋_GB2312" w:eastAsia="仿宋_GB2312"/>
                <w:sz w:val="24"/>
              </w:rPr>
              <w:t>在案例的形成过程中，建立提升教师信息技术与信息化教学能力的常态机制</w:t>
            </w:r>
            <w:r>
              <w:rPr>
                <w:rFonts w:ascii="仿宋_GB2312" w:eastAsia="仿宋_GB2312"/>
                <w:sz w:val="24"/>
              </w:rPr>
              <w:t>；引导教师使用国家、省</w:t>
            </w:r>
            <w:r>
              <w:rPr>
                <w:rFonts w:hint="eastAsia" w:ascii="仿宋_GB2312" w:eastAsia="仿宋_GB2312"/>
                <w:sz w:val="24"/>
              </w:rPr>
              <w:t>、</w:t>
            </w:r>
            <w:r>
              <w:rPr>
                <w:rFonts w:ascii="仿宋_GB2312" w:eastAsia="仿宋_GB2312"/>
                <w:sz w:val="24"/>
              </w:rPr>
              <w:t>市等各级教育资源</w:t>
            </w:r>
            <w:r>
              <w:rPr>
                <w:rFonts w:hint="eastAsia" w:ascii="仿宋_GB2312" w:eastAsia="仿宋_GB2312"/>
                <w:sz w:val="24"/>
              </w:rPr>
              <w:t>与</w:t>
            </w:r>
            <w:r>
              <w:rPr>
                <w:rFonts w:ascii="仿宋_GB2312" w:eastAsia="仿宋_GB2312"/>
                <w:sz w:val="24"/>
              </w:rPr>
              <w:t>公共服务平台；引导</w:t>
            </w:r>
            <w:r>
              <w:rPr>
                <w:rFonts w:hint="eastAsia" w:ascii="仿宋_GB2312" w:eastAsia="仿宋_GB2312"/>
                <w:sz w:val="24"/>
              </w:rPr>
              <w:t>教师应用网络空间开展备课</w:t>
            </w:r>
            <w:r>
              <w:rPr>
                <w:rFonts w:ascii="仿宋_GB2312" w:eastAsia="仿宋_GB2312"/>
                <w:sz w:val="24"/>
              </w:rPr>
              <w:t>、授课、学习指导等教学活动；指导、帮助师生充分利用</w:t>
            </w:r>
            <w:r>
              <w:rPr>
                <w:rFonts w:hint="eastAsia" w:ascii="仿宋_GB2312" w:eastAsia="仿宋_GB2312"/>
                <w:sz w:val="24"/>
              </w:rPr>
              <w:t>互联网</w:t>
            </w:r>
            <w:r>
              <w:rPr>
                <w:rFonts w:ascii="仿宋_GB2312" w:eastAsia="仿宋_GB2312"/>
                <w:sz w:val="24"/>
              </w:rPr>
              <w:t>开展</w:t>
            </w:r>
            <w:r>
              <w:rPr>
                <w:rFonts w:hint="eastAsia" w:ascii="仿宋_GB2312" w:eastAsia="仿宋_GB2312"/>
                <w:sz w:val="24"/>
              </w:rPr>
              <w:t>教与学；组织校本研修和网络研修活动</w:t>
            </w:r>
            <w:r>
              <w:rPr>
                <w:rFonts w:ascii="仿宋_GB2312" w:eastAsia="仿宋_GB2312"/>
                <w:sz w:val="24"/>
              </w:rPr>
              <w:t>。</w:t>
            </w:r>
          </w:p>
        </w:tc>
        <w:tc>
          <w:tcPr>
            <w:tcW w:w="2551" w:type="dxa"/>
            <w:shd w:val="clear" w:color="auto" w:fill="auto"/>
            <w:noWrap w:val="0"/>
            <w:vAlign w:val="center"/>
          </w:tcPr>
          <w:p>
            <w:pPr>
              <w:spacing w:line="300" w:lineRule="exact"/>
              <w:jc w:val="left"/>
              <w:rPr>
                <w:rFonts w:ascii="仿宋_GB2312" w:eastAsia="仿宋_GB2312"/>
                <w:sz w:val="24"/>
              </w:rPr>
            </w:pPr>
            <w:r>
              <w:rPr>
                <w:rFonts w:hint="eastAsia" w:ascii="仿宋_GB2312" w:eastAsia="仿宋_GB2312"/>
                <w:sz w:val="24"/>
              </w:rPr>
              <w:t>查队伍建设、测教师应用能力是否保障案例实施</w:t>
            </w:r>
          </w:p>
        </w:tc>
        <w:tc>
          <w:tcPr>
            <w:tcW w:w="709" w:type="dxa"/>
            <w:noWrap w:val="0"/>
            <w:vAlign w:val="top"/>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18" w:type="dxa"/>
            <w:vMerge w:val="continue"/>
            <w:shd w:val="clear" w:color="auto" w:fill="auto"/>
            <w:noWrap w:val="0"/>
            <w:vAlign w:val="center"/>
          </w:tcPr>
          <w:p>
            <w:pPr>
              <w:spacing w:line="300" w:lineRule="exact"/>
              <w:jc w:val="center"/>
              <w:rPr>
                <w:rFonts w:hint="eastAsia" w:ascii="仿宋_GB2312" w:eastAsia="仿宋_GB2312"/>
                <w:sz w:val="24"/>
              </w:rPr>
            </w:pP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评价激励</w:t>
            </w:r>
            <w:r>
              <w:rPr>
                <w:rFonts w:ascii="仿宋_GB2312" w:eastAsia="仿宋_GB2312"/>
                <w:sz w:val="24"/>
              </w:rPr>
              <w:t>(5分）</w:t>
            </w:r>
          </w:p>
        </w:tc>
        <w:tc>
          <w:tcPr>
            <w:tcW w:w="8767" w:type="dxa"/>
            <w:shd w:val="clear" w:color="auto" w:fill="auto"/>
            <w:noWrap w:val="0"/>
            <w:vAlign w:val="top"/>
          </w:tcPr>
          <w:p>
            <w:pPr>
              <w:spacing w:line="300" w:lineRule="exact"/>
              <w:jc w:val="left"/>
              <w:rPr>
                <w:rFonts w:hint="eastAsia" w:ascii="仿宋_GB2312" w:eastAsia="仿宋_GB2312"/>
                <w:sz w:val="24"/>
              </w:rPr>
            </w:pPr>
            <w:r>
              <w:rPr>
                <w:rFonts w:hint="eastAsia" w:ascii="仿宋_GB2312" w:eastAsia="仿宋_GB2312"/>
                <w:sz w:val="24"/>
              </w:rPr>
              <w:t>有激励广大教师和管理人员参与校本</w:t>
            </w:r>
            <w:r>
              <w:rPr>
                <w:rFonts w:ascii="仿宋_GB2312" w:eastAsia="仿宋_GB2312"/>
                <w:sz w:val="24"/>
              </w:rPr>
              <w:t>资源建设、教学应用创新和设施运行管理的具体措施，并将其作为 “评优推先”</w:t>
            </w:r>
            <w:r>
              <w:rPr>
                <w:rFonts w:hint="eastAsia" w:ascii="仿宋_GB2312" w:eastAsia="仿宋_GB2312"/>
                <w:sz w:val="24"/>
              </w:rPr>
              <w:t>的重要依据。确立了教育信息化应用和管理的责任制</w:t>
            </w:r>
            <w:r>
              <w:rPr>
                <w:rFonts w:ascii="仿宋_GB2312" w:eastAsia="仿宋_GB2312"/>
                <w:sz w:val="24"/>
              </w:rPr>
              <w:t>，并能分解到部门，有专人负责，纳入年度考核中。</w:t>
            </w:r>
          </w:p>
        </w:tc>
        <w:tc>
          <w:tcPr>
            <w:tcW w:w="2551" w:type="dxa"/>
            <w:shd w:val="clear" w:color="auto" w:fill="auto"/>
            <w:noWrap w:val="0"/>
            <w:vAlign w:val="center"/>
          </w:tcPr>
          <w:p>
            <w:pPr>
              <w:spacing w:line="300" w:lineRule="exact"/>
              <w:jc w:val="left"/>
              <w:rPr>
                <w:rFonts w:hint="eastAsia" w:ascii="仿宋_GB2312" w:eastAsia="仿宋_GB2312"/>
                <w:sz w:val="24"/>
              </w:rPr>
            </w:pPr>
            <w:r>
              <w:rPr>
                <w:rFonts w:hint="eastAsia" w:ascii="仿宋_GB2312" w:eastAsia="仿宋_GB2312"/>
                <w:sz w:val="24"/>
              </w:rPr>
              <w:t>查教师培训、单项考核、学期考核数据是否一致</w:t>
            </w:r>
          </w:p>
        </w:tc>
        <w:tc>
          <w:tcPr>
            <w:tcW w:w="709" w:type="dxa"/>
            <w:noWrap w:val="0"/>
            <w:vAlign w:val="top"/>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418" w:type="dxa"/>
            <w:vMerge w:val="restart"/>
            <w:shd w:val="clear" w:color="auto" w:fill="auto"/>
            <w:noWrap w:val="0"/>
            <w:vAlign w:val="center"/>
          </w:tcPr>
          <w:p>
            <w:pPr>
              <w:spacing w:line="300" w:lineRule="exact"/>
              <w:jc w:val="center"/>
              <w:rPr>
                <w:rFonts w:ascii="仿宋_GB2312" w:eastAsia="仿宋_GB2312"/>
                <w:sz w:val="24"/>
              </w:rPr>
            </w:pPr>
            <w:r>
              <w:rPr>
                <w:rFonts w:hint="eastAsia" w:ascii="仿宋_GB2312" w:eastAsia="仿宋_GB2312"/>
                <w:sz w:val="24"/>
              </w:rPr>
              <w:t>成效与示范</w:t>
            </w:r>
          </w:p>
          <w:p>
            <w:pPr>
              <w:spacing w:line="300" w:lineRule="exact"/>
              <w:jc w:val="center"/>
              <w:rPr>
                <w:rFonts w:hint="eastAsia" w:ascii="仿宋_GB2312" w:eastAsia="仿宋_GB2312"/>
                <w:sz w:val="24"/>
              </w:rPr>
            </w:pPr>
            <w:r>
              <w:rPr>
                <w:rFonts w:ascii="仿宋_GB2312" w:eastAsia="仿宋_GB2312"/>
                <w:sz w:val="24"/>
              </w:rPr>
              <w:t>(60分）</w:t>
            </w: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整体发展</w:t>
            </w:r>
            <w:r>
              <w:rPr>
                <w:rFonts w:ascii="仿宋_GB2312" w:eastAsia="仿宋_GB2312"/>
                <w:sz w:val="24"/>
              </w:rPr>
              <w:t>(25分）</w:t>
            </w:r>
          </w:p>
        </w:tc>
        <w:tc>
          <w:tcPr>
            <w:tcW w:w="8767" w:type="dxa"/>
            <w:shd w:val="clear" w:color="auto" w:fill="auto"/>
            <w:noWrap w:val="0"/>
            <w:vAlign w:val="top"/>
          </w:tcPr>
          <w:p>
            <w:pPr>
              <w:spacing w:line="300" w:lineRule="exact"/>
              <w:jc w:val="left"/>
              <w:rPr>
                <w:rFonts w:hint="eastAsia" w:ascii="仿宋_GB2312" w:eastAsia="仿宋_GB2312"/>
                <w:sz w:val="24"/>
              </w:rPr>
            </w:pPr>
            <w:r>
              <w:rPr>
                <w:rFonts w:hint="eastAsia" w:ascii="仿宋_GB2312" w:eastAsia="仿宋_GB2312"/>
                <w:sz w:val="24"/>
              </w:rPr>
              <w:t>应用信息技术有效提高学校的办学条件</w:t>
            </w:r>
            <w:r>
              <w:rPr>
                <w:rFonts w:ascii="仿宋_GB2312" w:eastAsia="仿宋_GB2312"/>
                <w:sz w:val="24"/>
              </w:rPr>
              <w:t>、师资水平与治理水平，在改变学生学习方式、评价方式、家校协同教育</w:t>
            </w:r>
            <w:r>
              <w:rPr>
                <w:rFonts w:hint="eastAsia" w:ascii="仿宋_GB2312" w:eastAsia="仿宋_GB2312"/>
                <w:sz w:val="24"/>
              </w:rPr>
              <w:t>、</w:t>
            </w:r>
            <w:r>
              <w:rPr>
                <w:rFonts w:ascii="仿宋_GB2312" w:eastAsia="仿宋_GB2312"/>
                <w:sz w:val="24"/>
              </w:rPr>
              <w:t>管理</w:t>
            </w:r>
            <w:r>
              <w:rPr>
                <w:rFonts w:hint="eastAsia" w:ascii="仿宋_GB2312" w:eastAsia="仿宋_GB2312"/>
                <w:sz w:val="24"/>
              </w:rPr>
              <w:t>模式等方面取得显著效果</w:t>
            </w:r>
            <w:r>
              <w:rPr>
                <w:rFonts w:ascii="仿宋_GB2312" w:eastAsia="仿宋_GB2312"/>
                <w:sz w:val="24"/>
              </w:rPr>
              <w:t>，发挥了不可替代的作用，产生真实的效益，得到师生的欢迎，教师、学生、家长普遍有获得</w:t>
            </w:r>
            <w:r>
              <w:rPr>
                <w:rFonts w:hint="eastAsia" w:ascii="仿宋_GB2312" w:eastAsia="仿宋_GB2312"/>
                <w:sz w:val="24"/>
              </w:rPr>
              <w:t>感。</w:t>
            </w:r>
          </w:p>
        </w:tc>
        <w:tc>
          <w:tcPr>
            <w:tcW w:w="2551" w:type="dxa"/>
            <w:shd w:val="clear" w:color="auto" w:fill="auto"/>
            <w:noWrap w:val="0"/>
            <w:vAlign w:val="center"/>
          </w:tcPr>
          <w:p>
            <w:pPr>
              <w:spacing w:line="300" w:lineRule="exact"/>
              <w:jc w:val="left"/>
              <w:rPr>
                <w:rFonts w:ascii="仿宋_GB2312" w:eastAsia="仿宋_GB2312"/>
                <w:sz w:val="24"/>
              </w:rPr>
            </w:pPr>
            <w:r>
              <w:rPr>
                <w:rFonts w:hint="eastAsia" w:ascii="仿宋_GB2312" w:eastAsia="仿宋_GB2312"/>
                <w:sz w:val="24"/>
              </w:rPr>
              <w:t>实地评估是否常态化、普遍应用或调查师生</w:t>
            </w:r>
          </w:p>
        </w:tc>
        <w:tc>
          <w:tcPr>
            <w:tcW w:w="709" w:type="dxa"/>
            <w:noWrap w:val="0"/>
            <w:vAlign w:val="top"/>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418" w:type="dxa"/>
            <w:vMerge w:val="continue"/>
            <w:shd w:val="clear" w:color="auto" w:fill="auto"/>
            <w:noWrap w:val="0"/>
            <w:vAlign w:val="center"/>
          </w:tcPr>
          <w:p>
            <w:pPr>
              <w:spacing w:line="300" w:lineRule="exact"/>
              <w:jc w:val="center"/>
              <w:rPr>
                <w:rFonts w:hint="eastAsia" w:ascii="仿宋_GB2312" w:eastAsia="仿宋_GB2312"/>
                <w:sz w:val="24"/>
              </w:rPr>
            </w:pP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质量提升</w:t>
            </w:r>
            <w:r>
              <w:rPr>
                <w:rFonts w:ascii="仿宋_GB2312" w:eastAsia="仿宋_GB2312"/>
                <w:sz w:val="24"/>
              </w:rPr>
              <w:t>(25分）</w:t>
            </w:r>
          </w:p>
        </w:tc>
        <w:tc>
          <w:tcPr>
            <w:tcW w:w="8767" w:type="dxa"/>
            <w:shd w:val="clear" w:color="auto" w:fill="auto"/>
            <w:noWrap w:val="0"/>
            <w:vAlign w:val="top"/>
          </w:tcPr>
          <w:p>
            <w:pPr>
              <w:spacing w:line="300" w:lineRule="exact"/>
              <w:jc w:val="left"/>
              <w:rPr>
                <w:rFonts w:hint="eastAsia" w:ascii="仿宋_GB2312" w:eastAsia="仿宋_GB2312"/>
                <w:sz w:val="24"/>
              </w:rPr>
            </w:pPr>
            <w:r>
              <w:rPr>
                <w:rFonts w:hint="eastAsia" w:ascii="仿宋_GB2312" w:eastAsia="仿宋_GB2312"/>
                <w:sz w:val="24"/>
              </w:rPr>
              <w:t>5</w:t>
            </w:r>
            <w:r>
              <w:rPr>
                <w:rFonts w:ascii="仿宋_GB2312" w:eastAsia="仿宋_GB2312"/>
                <w:sz w:val="24"/>
              </w:rPr>
              <w:t>0%</w:t>
            </w:r>
            <w:r>
              <w:rPr>
                <w:rFonts w:hint="eastAsia" w:ascii="仿宋_GB2312" w:eastAsia="仿宋_GB2312"/>
                <w:sz w:val="24"/>
              </w:rPr>
              <w:t>以上教师都能利用案例中描述的信息技术改进教学方法</w:t>
            </w:r>
            <w:r>
              <w:rPr>
                <w:rFonts w:ascii="仿宋_GB2312" w:eastAsia="仿宋_GB2312"/>
                <w:sz w:val="24"/>
              </w:rPr>
              <w:t>、创新教学模式，推进课堂信息化教学全面普及，提升学生创新意识和</w:t>
            </w:r>
            <w:r>
              <w:rPr>
                <w:rFonts w:hint="eastAsia" w:ascii="仿宋_GB2312" w:eastAsia="仿宋_GB2312"/>
                <w:sz w:val="24"/>
              </w:rPr>
              <w:t>能力</w:t>
            </w:r>
            <w:r>
              <w:rPr>
                <w:rFonts w:ascii="仿宋_GB2312" w:eastAsia="仿宋_GB2312"/>
                <w:sz w:val="24"/>
              </w:rPr>
              <w:t>，增强学习内驱力。学生学习和应用方面有显著进步或提升，教师信息化教学能力显著提高 。</w:t>
            </w:r>
          </w:p>
        </w:tc>
        <w:tc>
          <w:tcPr>
            <w:tcW w:w="2551" w:type="dxa"/>
            <w:shd w:val="clear" w:color="auto" w:fill="auto"/>
            <w:noWrap w:val="0"/>
            <w:vAlign w:val="center"/>
          </w:tcPr>
          <w:p>
            <w:pPr>
              <w:spacing w:line="300" w:lineRule="exact"/>
              <w:jc w:val="left"/>
              <w:rPr>
                <w:rFonts w:hint="eastAsia" w:ascii="仿宋_GB2312" w:eastAsia="仿宋_GB2312"/>
                <w:sz w:val="24"/>
              </w:rPr>
            </w:pPr>
            <w:r>
              <w:rPr>
                <w:rFonts w:hint="eastAsia" w:ascii="仿宋_GB2312" w:eastAsia="仿宋_GB2312"/>
                <w:sz w:val="24"/>
              </w:rPr>
              <w:t>实地评估教学效果、教学模式或调查师生</w:t>
            </w:r>
          </w:p>
        </w:tc>
        <w:tc>
          <w:tcPr>
            <w:tcW w:w="709" w:type="dxa"/>
            <w:noWrap w:val="0"/>
            <w:vAlign w:val="top"/>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18" w:type="dxa"/>
            <w:vMerge w:val="continue"/>
            <w:shd w:val="clear" w:color="auto" w:fill="auto"/>
            <w:noWrap w:val="0"/>
            <w:vAlign w:val="center"/>
          </w:tcPr>
          <w:p>
            <w:pPr>
              <w:spacing w:line="300" w:lineRule="exact"/>
              <w:jc w:val="center"/>
              <w:rPr>
                <w:rFonts w:hint="eastAsia" w:ascii="仿宋_GB2312" w:eastAsia="仿宋_GB2312"/>
                <w:sz w:val="24"/>
              </w:rPr>
            </w:pP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推广价值</w:t>
            </w:r>
            <w:r>
              <w:rPr>
                <w:rFonts w:ascii="仿宋_GB2312" w:eastAsia="仿宋_GB2312"/>
                <w:sz w:val="24"/>
              </w:rPr>
              <w:t>(10分）</w:t>
            </w:r>
          </w:p>
        </w:tc>
        <w:tc>
          <w:tcPr>
            <w:tcW w:w="8767" w:type="dxa"/>
            <w:shd w:val="clear" w:color="auto" w:fill="auto"/>
            <w:noWrap w:val="0"/>
            <w:vAlign w:val="top"/>
          </w:tcPr>
          <w:p>
            <w:pPr>
              <w:spacing w:line="300" w:lineRule="exact"/>
              <w:jc w:val="left"/>
              <w:rPr>
                <w:rFonts w:hint="eastAsia" w:ascii="仿宋_GB2312" w:eastAsia="仿宋_GB2312"/>
                <w:sz w:val="24"/>
              </w:rPr>
            </w:pPr>
            <w:r>
              <w:rPr>
                <w:rFonts w:hint="eastAsia" w:ascii="仿宋_GB2312" w:eastAsia="仿宋_GB2312"/>
                <w:sz w:val="24"/>
              </w:rPr>
              <w:t>在利用信息技术促进学校教育发展与改革方面取得显著成效</w:t>
            </w:r>
            <w:r>
              <w:rPr>
                <w:rFonts w:ascii="仿宋_GB2312" w:eastAsia="仿宋_GB2312"/>
                <w:sz w:val="24"/>
              </w:rPr>
              <w:t>，</w:t>
            </w:r>
            <w:r>
              <w:rPr>
                <w:rFonts w:hint="eastAsia" w:ascii="仿宋_GB2312" w:eastAsia="仿宋_GB2312"/>
                <w:sz w:val="24"/>
              </w:rPr>
              <w:t>适合在全县中小学教育教学中应用，具备在全县推广应用的充分理由</w:t>
            </w:r>
            <w:r>
              <w:rPr>
                <w:rFonts w:ascii="仿宋_GB2312" w:eastAsia="仿宋_GB2312"/>
                <w:sz w:val="24"/>
              </w:rPr>
              <w:t>。</w:t>
            </w:r>
          </w:p>
        </w:tc>
        <w:tc>
          <w:tcPr>
            <w:tcW w:w="2551" w:type="dxa"/>
            <w:shd w:val="clear" w:color="auto" w:fill="auto"/>
            <w:noWrap w:val="0"/>
            <w:vAlign w:val="center"/>
          </w:tcPr>
          <w:p>
            <w:pPr>
              <w:spacing w:line="300" w:lineRule="exact"/>
              <w:jc w:val="left"/>
              <w:rPr>
                <w:rFonts w:ascii="仿宋_GB2312" w:eastAsia="仿宋_GB2312"/>
                <w:sz w:val="24"/>
              </w:rPr>
            </w:pPr>
            <w:r>
              <w:rPr>
                <w:rFonts w:hint="eastAsia" w:ascii="仿宋_GB2312" w:eastAsia="仿宋_GB2312"/>
                <w:sz w:val="24"/>
              </w:rPr>
              <w:t>评估案例是否值得在全县推广</w:t>
            </w:r>
          </w:p>
        </w:tc>
        <w:tc>
          <w:tcPr>
            <w:tcW w:w="709" w:type="dxa"/>
            <w:noWrap w:val="0"/>
            <w:vAlign w:val="top"/>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418"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特色与创新（1</w:t>
            </w:r>
            <w:r>
              <w:rPr>
                <w:rFonts w:ascii="仿宋_GB2312" w:eastAsia="仿宋_GB2312"/>
                <w:sz w:val="24"/>
              </w:rPr>
              <w:t>5</w:t>
            </w:r>
            <w:r>
              <w:rPr>
                <w:rFonts w:hint="eastAsia" w:ascii="仿宋_GB2312" w:eastAsia="仿宋_GB2312"/>
                <w:sz w:val="24"/>
              </w:rPr>
              <w:t>分）</w:t>
            </w: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特色创新（1</w:t>
            </w:r>
            <w:r>
              <w:rPr>
                <w:rFonts w:ascii="仿宋_GB2312" w:eastAsia="仿宋_GB2312"/>
                <w:sz w:val="24"/>
              </w:rPr>
              <w:t>5</w:t>
            </w:r>
            <w:r>
              <w:rPr>
                <w:rFonts w:hint="eastAsia" w:ascii="仿宋_GB2312" w:eastAsia="仿宋_GB2312"/>
                <w:sz w:val="24"/>
              </w:rPr>
              <w:t>分）</w:t>
            </w:r>
          </w:p>
        </w:tc>
        <w:tc>
          <w:tcPr>
            <w:tcW w:w="8767" w:type="dxa"/>
            <w:shd w:val="clear" w:color="auto" w:fill="auto"/>
            <w:noWrap w:val="0"/>
            <w:vAlign w:val="top"/>
          </w:tcPr>
          <w:p>
            <w:pPr>
              <w:spacing w:line="300" w:lineRule="exact"/>
              <w:jc w:val="left"/>
              <w:rPr>
                <w:rFonts w:hint="eastAsia" w:ascii="仿宋_GB2312" w:eastAsia="仿宋_GB2312"/>
                <w:sz w:val="24"/>
              </w:rPr>
            </w:pPr>
            <w:r>
              <w:rPr>
                <w:rFonts w:hint="eastAsia" w:ascii="仿宋_GB2312" w:eastAsia="仿宋_GB2312"/>
                <w:sz w:val="24"/>
              </w:rPr>
              <w:t>应用案例有鲜明特色</w:t>
            </w:r>
            <w:r>
              <w:rPr>
                <w:rFonts w:ascii="仿宋_GB2312" w:eastAsia="仿宋_GB2312"/>
                <w:sz w:val="24"/>
              </w:rPr>
              <w:t>或体现本校独特办学理念，信息化能够支撑学校特色发展，在服务育人全过程、课程</w:t>
            </w:r>
            <w:r>
              <w:rPr>
                <w:rFonts w:hint="eastAsia" w:ascii="仿宋_GB2312" w:eastAsia="仿宋_GB2312"/>
                <w:sz w:val="24"/>
              </w:rPr>
              <w:t>建设、教学研究</w:t>
            </w:r>
            <w:r>
              <w:rPr>
                <w:rFonts w:ascii="仿宋_GB2312" w:eastAsia="仿宋_GB2312"/>
                <w:sz w:val="24"/>
              </w:rPr>
              <w:t>、从服务课堂学习拓展为支撑网络化的泛在学习等某方面具有独特的创新，具有引领作用</w:t>
            </w:r>
            <w:r>
              <w:rPr>
                <w:rFonts w:hint="eastAsia" w:ascii="仿宋_GB2312" w:eastAsia="仿宋_GB2312"/>
                <w:sz w:val="24"/>
              </w:rPr>
              <w:t>，并得到上级部门认可</w:t>
            </w:r>
            <w:r>
              <w:rPr>
                <w:rFonts w:ascii="仿宋_GB2312" w:eastAsia="仿宋_GB2312"/>
                <w:sz w:val="24"/>
              </w:rPr>
              <w:t>。</w:t>
            </w:r>
          </w:p>
        </w:tc>
        <w:tc>
          <w:tcPr>
            <w:tcW w:w="2551" w:type="dxa"/>
            <w:shd w:val="clear" w:color="auto" w:fill="auto"/>
            <w:noWrap w:val="0"/>
            <w:vAlign w:val="center"/>
          </w:tcPr>
          <w:p>
            <w:pPr>
              <w:spacing w:line="300" w:lineRule="exact"/>
              <w:jc w:val="left"/>
              <w:rPr>
                <w:rFonts w:hint="eastAsia" w:ascii="仿宋_GB2312" w:eastAsia="仿宋_GB2312"/>
                <w:sz w:val="24"/>
              </w:rPr>
            </w:pPr>
            <w:r>
              <w:rPr>
                <w:rFonts w:hint="eastAsia" w:ascii="仿宋_GB2312" w:eastAsia="仿宋_GB2312"/>
                <w:sz w:val="24"/>
              </w:rPr>
              <w:t>得到县、市、省、国家认定的优秀案例分别得6、9、1</w:t>
            </w:r>
            <w:r>
              <w:rPr>
                <w:rFonts w:ascii="仿宋_GB2312" w:eastAsia="仿宋_GB2312"/>
                <w:sz w:val="24"/>
              </w:rPr>
              <w:t>2</w:t>
            </w:r>
            <w:r>
              <w:rPr>
                <w:rFonts w:hint="eastAsia" w:ascii="仿宋_GB2312" w:eastAsia="仿宋_GB2312"/>
                <w:sz w:val="24"/>
              </w:rPr>
              <w:t>、1</w:t>
            </w:r>
            <w:r>
              <w:rPr>
                <w:rFonts w:ascii="仿宋_GB2312" w:eastAsia="仿宋_GB2312"/>
                <w:sz w:val="24"/>
              </w:rPr>
              <w:t>5</w:t>
            </w:r>
            <w:r>
              <w:rPr>
                <w:rFonts w:hint="eastAsia" w:ascii="仿宋_GB2312" w:eastAsia="仿宋_GB2312"/>
                <w:sz w:val="24"/>
              </w:rPr>
              <w:t>分。</w:t>
            </w:r>
          </w:p>
        </w:tc>
        <w:tc>
          <w:tcPr>
            <w:tcW w:w="709" w:type="dxa"/>
            <w:noWrap w:val="0"/>
            <w:vAlign w:val="top"/>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18" w:type="dxa"/>
            <w:shd w:val="clear" w:color="auto" w:fill="auto"/>
            <w:noWrap w:val="0"/>
            <w:vAlign w:val="center"/>
          </w:tcPr>
          <w:p>
            <w:pPr>
              <w:spacing w:line="300" w:lineRule="exact"/>
              <w:jc w:val="center"/>
              <w:rPr>
                <w:rFonts w:ascii="仿宋_GB2312" w:eastAsia="仿宋_GB2312"/>
                <w:sz w:val="24"/>
              </w:rPr>
            </w:pPr>
            <w:r>
              <w:rPr>
                <w:rFonts w:hint="eastAsia" w:ascii="仿宋_GB2312" w:eastAsia="仿宋_GB2312"/>
                <w:sz w:val="24"/>
              </w:rPr>
              <w:t>推荐材料</w:t>
            </w:r>
          </w:p>
          <w:p>
            <w:pPr>
              <w:spacing w:line="300" w:lineRule="exact"/>
              <w:jc w:val="center"/>
              <w:rPr>
                <w:rFonts w:hint="eastAsia" w:ascii="仿宋_GB2312" w:eastAsia="仿宋_GB2312"/>
                <w:sz w:val="24"/>
              </w:rPr>
            </w:pPr>
            <w:r>
              <w:rPr>
                <w:rFonts w:hint="eastAsia" w:ascii="仿宋_GB2312" w:eastAsia="仿宋_GB2312"/>
                <w:sz w:val="24"/>
              </w:rPr>
              <w:t>（1</w:t>
            </w:r>
            <w:r>
              <w:rPr>
                <w:rFonts w:ascii="仿宋_GB2312" w:eastAsia="仿宋_GB2312"/>
                <w:sz w:val="24"/>
              </w:rPr>
              <w:t>0</w:t>
            </w:r>
            <w:r>
              <w:rPr>
                <w:rFonts w:hint="eastAsia" w:ascii="仿宋_GB2312" w:eastAsia="仿宋_GB2312"/>
                <w:sz w:val="24"/>
              </w:rPr>
              <w:t>分）</w:t>
            </w:r>
          </w:p>
        </w:tc>
        <w:tc>
          <w:tcPr>
            <w:tcW w:w="1276" w:type="dxa"/>
            <w:shd w:val="clear" w:color="auto" w:fill="auto"/>
            <w:noWrap w:val="0"/>
            <w:vAlign w:val="center"/>
          </w:tcPr>
          <w:p>
            <w:pPr>
              <w:spacing w:line="300" w:lineRule="exact"/>
              <w:jc w:val="center"/>
              <w:rPr>
                <w:rFonts w:hint="eastAsia" w:ascii="仿宋_GB2312" w:eastAsia="仿宋_GB2312"/>
                <w:sz w:val="24"/>
              </w:rPr>
            </w:pPr>
            <w:r>
              <w:rPr>
                <w:rFonts w:hint="eastAsia" w:ascii="仿宋_GB2312" w:eastAsia="仿宋_GB2312"/>
                <w:sz w:val="24"/>
              </w:rPr>
              <w:t>材料规范（1</w:t>
            </w:r>
            <w:r>
              <w:rPr>
                <w:rFonts w:ascii="仿宋_GB2312" w:eastAsia="仿宋_GB2312"/>
                <w:sz w:val="24"/>
              </w:rPr>
              <w:t>0</w:t>
            </w:r>
            <w:r>
              <w:rPr>
                <w:rFonts w:hint="eastAsia" w:ascii="仿宋_GB2312" w:eastAsia="仿宋_GB2312"/>
                <w:sz w:val="24"/>
              </w:rPr>
              <w:t>分）</w:t>
            </w:r>
          </w:p>
        </w:tc>
        <w:tc>
          <w:tcPr>
            <w:tcW w:w="8767" w:type="dxa"/>
            <w:shd w:val="clear" w:color="auto" w:fill="auto"/>
            <w:noWrap w:val="0"/>
            <w:vAlign w:val="top"/>
          </w:tcPr>
          <w:p>
            <w:pPr>
              <w:spacing w:line="300" w:lineRule="exact"/>
              <w:jc w:val="left"/>
              <w:rPr>
                <w:rFonts w:hint="eastAsia" w:ascii="微软雅黑" w:hAnsi="微软雅黑" w:eastAsia="微软雅黑" w:cs="微软雅黑"/>
                <w:sz w:val="24"/>
              </w:rPr>
            </w:pPr>
            <w:r>
              <w:rPr>
                <w:rFonts w:hint="eastAsia" w:ascii="仿宋_GB2312" w:eastAsia="仿宋_GB2312"/>
                <w:sz w:val="24"/>
              </w:rPr>
              <w:t>文字材料层次结构清晰，</w:t>
            </w:r>
            <w:r>
              <w:rPr>
                <w:rFonts w:ascii="仿宋_GB2312" w:eastAsia="仿宋_GB2312"/>
                <w:sz w:val="24"/>
              </w:rPr>
              <w:t>主题突出</w:t>
            </w:r>
            <w:r>
              <w:rPr>
                <w:rFonts w:hint="eastAsia" w:ascii="仿宋_GB2312" w:eastAsia="仿宋_GB2312"/>
                <w:sz w:val="24"/>
              </w:rPr>
              <w:t>，</w:t>
            </w:r>
            <w:r>
              <w:rPr>
                <w:rFonts w:ascii="仿宋_GB2312" w:eastAsia="仿宋_GB2312"/>
                <w:sz w:val="24"/>
              </w:rPr>
              <w:t>可读性较强</w:t>
            </w:r>
            <w:r>
              <w:rPr>
                <w:rFonts w:hint="eastAsia" w:ascii="仿宋_GB2312" w:eastAsia="仿宋_GB2312"/>
                <w:sz w:val="24"/>
              </w:rPr>
              <w:t>；注重发展的过程性、真实性和实效性。字数5</w:t>
            </w:r>
            <w:r>
              <w:rPr>
                <w:rFonts w:ascii="仿宋_GB2312" w:eastAsia="仿宋_GB2312"/>
                <w:sz w:val="24"/>
              </w:rPr>
              <w:t>000</w:t>
            </w:r>
            <w:r>
              <w:rPr>
                <w:rFonts w:hint="eastAsia" w:ascii="仿宋_GB2312" w:eastAsia="仿宋_GB2312"/>
                <w:sz w:val="24"/>
              </w:rPr>
              <w:t>字以内，材料内容有政策依据、实施背景、思路分析、具体措施、实施效果、保障措施、存在问题、下一步打算等内容。</w:t>
            </w:r>
          </w:p>
        </w:tc>
        <w:tc>
          <w:tcPr>
            <w:tcW w:w="2551" w:type="dxa"/>
            <w:shd w:val="clear" w:color="auto" w:fill="auto"/>
            <w:noWrap w:val="0"/>
            <w:vAlign w:val="center"/>
          </w:tcPr>
          <w:p>
            <w:pPr>
              <w:spacing w:line="300" w:lineRule="exact"/>
              <w:jc w:val="left"/>
              <w:rPr>
                <w:rFonts w:hint="eastAsia" w:ascii="仿宋_GB2312" w:eastAsia="仿宋_GB2312"/>
                <w:sz w:val="24"/>
              </w:rPr>
            </w:pPr>
            <w:r>
              <w:rPr>
                <w:rFonts w:hint="eastAsia" w:ascii="仿宋_GB2312" w:eastAsia="仿宋_GB2312"/>
                <w:sz w:val="24"/>
              </w:rPr>
              <w:t>查看推荐材料是否符合要求</w:t>
            </w:r>
          </w:p>
        </w:tc>
        <w:tc>
          <w:tcPr>
            <w:tcW w:w="709" w:type="dxa"/>
            <w:noWrap w:val="0"/>
            <w:vAlign w:val="top"/>
          </w:tcPr>
          <w:p>
            <w:pPr>
              <w:spacing w:line="300" w:lineRule="exact"/>
              <w:jc w:val="center"/>
              <w:rPr>
                <w:rFonts w:hint="eastAsia" w:ascii="仿宋_GB2312" w:eastAsia="仿宋_GB2312"/>
                <w:sz w:val="24"/>
              </w:rPr>
            </w:pPr>
          </w:p>
        </w:tc>
      </w:tr>
    </w:tbl>
    <w:p/>
    <w:sectPr>
      <w:pgSz w:w="16838" w:h="11906" w:orient="landscape"/>
      <w:pgMar w:top="1134" w:right="2098" w:bottom="79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10E61"/>
    <w:rsid w:val="5ED10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2021-03-09T02:36:00Z</dcterms:created>
  <dc:creator>ananbaba</dc:creator>
  <cp:lastModifiedBy>ananbaba</cp:lastModifiedBy>
  <dcterms:modified xsi:type="dcterms:W3CDTF">2021-03-09T02:37:17Z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