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660" w:lineRule="exact"/>
        <w:ind w:left="0" w:right="0"/>
        <w:jc w:val="both"/>
        <w:rPr>
          <w:rFonts w:hint="eastAsia" w:ascii="宋体" w:hAnsi="宋体" w:eastAsia="宋体" w:cs="宋体"/>
          <w:b/>
          <w:sz w:val="40"/>
          <w:szCs w:val="40"/>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宋体" w:hAnsi="宋体" w:eastAsia="宋体" w:cs="宋体"/>
          <w:b/>
          <w:sz w:val="36"/>
          <w:szCs w:val="36"/>
          <w:lang w:val="en-US"/>
        </w:rPr>
      </w:pPr>
      <w:r>
        <w:rPr>
          <w:rFonts w:hint="eastAsia" w:ascii="方正小标宋简体" w:hAnsi="方正小标宋简体" w:eastAsia="方正小标宋简体" w:cs="方正小标宋简体"/>
          <w:b w:val="0"/>
          <w:bCs/>
          <w:kern w:val="0"/>
          <w:sz w:val="44"/>
          <w:szCs w:val="44"/>
          <w:lang w:val="en-US" w:eastAsia="zh-CN" w:bidi="ar"/>
        </w:rPr>
        <w:t>关于2019年高台县                     一般公共预算收入决算的说明</w:t>
      </w:r>
    </w:p>
    <w:p>
      <w:pPr>
        <w:keepNext w:val="0"/>
        <w:keepLines w:val="0"/>
        <w:widowControl w:val="0"/>
        <w:suppressLineNumbers w:val="0"/>
        <w:adjustRightInd w:val="0"/>
        <w:snapToGrid w:val="0"/>
        <w:spacing w:before="0" w:beforeAutospacing="0" w:after="0" w:afterAutospacing="0" w:line="660" w:lineRule="exact"/>
        <w:ind w:left="0" w:right="0"/>
        <w:jc w:val="center"/>
        <w:rPr>
          <w:rFonts w:hint="eastAsia" w:ascii="宋体" w:hAnsi="宋体" w:eastAsia="宋体" w:cs="宋体"/>
          <w:b/>
          <w:sz w:val="40"/>
          <w:szCs w:val="40"/>
          <w:lang w:val="en-US"/>
        </w:rPr>
      </w:pPr>
      <w:bookmarkStart w:id="0" w:name="_GoBack"/>
      <w:bookmarkEnd w:id="0"/>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决算情况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lang w:bidi="ar"/>
        </w:rPr>
      </w:pPr>
      <w:r>
        <w:rPr>
          <w:rFonts w:hint="eastAsia" w:ascii="仿宋_GB2312" w:eastAsia="仿宋_GB2312" w:cs="仿宋_GB2312"/>
          <w:color w:val="000000"/>
          <w:sz w:val="32"/>
          <w:szCs w:val="32"/>
          <w:lang w:val="en-US" w:eastAsia="zh-CN" w:bidi="ar"/>
        </w:rPr>
        <w:t>一般公共预算</w:t>
      </w:r>
      <w:r>
        <w:rPr>
          <w:rFonts w:hint="eastAsia" w:ascii="仿宋_GB2312" w:eastAsia="仿宋_GB2312" w:cs="仿宋_GB2312"/>
          <w:color w:val="000000"/>
          <w:sz w:val="32"/>
          <w:szCs w:val="32"/>
          <w:lang w:bidi="ar"/>
        </w:rPr>
        <w:t>收入完成22435万元，占变动预算的106.05%，同比增长12.1%。分项目完成情况是：</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sz w:val="32"/>
          <w:szCs w:val="32"/>
          <w:lang w:val="en-US"/>
        </w:rPr>
      </w:pPr>
      <w:r>
        <w:rPr>
          <w:rFonts w:hint="eastAsia" w:ascii="楷体" w:hAnsi="楷体" w:eastAsia="楷体" w:cs="楷体"/>
          <w:b w:val="0"/>
          <w:bCs/>
          <w:kern w:val="0"/>
          <w:sz w:val="32"/>
          <w:szCs w:val="32"/>
          <w:lang w:val="en-US" w:eastAsia="zh-CN" w:bidi="ar"/>
        </w:rPr>
        <w:t>（一）税收收入</w:t>
      </w:r>
    </w:p>
    <w:p>
      <w:pPr>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bidi="ar"/>
        </w:rPr>
        <w:t>税收收入完成9294万元，占变动预算的86.02%，下降20.84%。主要项目完成情况是：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bidi="ar"/>
        </w:rPr>
        <w:t>增值税3639万元，占变动预算的85.22%，下降21.61%；</w:t>
      </w:r>
    </w:p>
    <w:p>
      <w:pPr>
        <w:spacing w:line="580" w:lineRule="exact"/>
        <w:rPr>
          <w:rFonts w:hint="eastAsia"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bidi="ar"/>
        </w:rPr>
        <w:t xml:space="preserve">    企业所得税772万元，占变动预算的76.44%，下降33.16%；</w:t>
      </w:r>
    </w:p>
    <w:p>
      <w:pPr>
        <w:spacing w:line="580" w:lineRule="exact"/>
        <w:ind w:firstLine="640"/>
        <w:rPr>
          <w:rFonts w:hint="eastAsia" w:ascii="仿宋_GB2312" w:eastAsia="仿宋_GB2312" w:cs="仿宋_GB2312"/>
          <w:color w:val="000000"/>
          <w:sz w:val="32"/>
          <w:szCs w:val="32"/>
          <w:highlight w:val="none"/>
          <w:lang w:bidi="ar"/>
        </w:rPr>
      </w:pPr>
      <w:r>
        <w:rPr>
          <w:rFonts w:hint="eastAsia" w:ascii="仿宋_GB2312" w:eastAsia="仿宋_GB2312" w:cs="仿宋_GB2312"/>
          <w:color w:val="000000"/>
          <w:sz w:val="32"/>
          <w:szCs w:val="32"/>
          <w:highlight w:val="none"/>
          <w:lang w:bidi="ar"/>
        </w:rPr>
        <w:t>城市维护建设税570万元，占变动预算的91.2%，下降22.55%；　</w:t>
      </w:r>
    </w:p>
    <w:p>
      <w:pPr>
        <w:spacing w:line="580" w:lineRule="exact"/>
        <w:ind w:firstLine="640"/>
        <w:rPr>
          <w:rFonts w:hint="eastAsia" w:ascii="仿宋_GB2312" w:eastAsia="仿宋_GB2312" w:cs="仿宋_GB2312"/>
          <w:color w:val="000000"/>
          <w:sz w:val="32"/>
          <w:szCs w:val="32"/>
          <w:highlight w:val="none"/>
          <w:lang w:bidi="ar"/>
        </w:rPr>
      </w:pPr>
      <w:r>
        <w:rPr>
          <w:rFonts w:hint="eastAsia" w:ascii="仿宋_GB2312" w:eastAsia="仿宋_GB2312" w:cs="仿宋_GB2312"/>
          <w:color w:val="000000"/>
          <w:sz w:val="32"/>
          <w:szCs w:val="32"/>
          <w:highlight w:val="none"/>
          <w:lang w:bidi="ar"/>
        </w:rPr>
        <w:t>房产税591万元，占变动预算的98.5%，下降14.35%；</w:t>
      </w:r>
    </w:p>
    <w:p>
      <w:pPr>
        <w:spacing w:line="580" w:lineRule="exact"/>
        <w:ind w:firstLine="640"/>
        <w:rPr>
          <w:rFonts w:hint="eastAsia" w:ascii="仿宋_GB2312" w:eastAsia="仿宋_GB2312" w:cs="仿宋_GB2312"/>
          <w:color w:val="000000"/>
          <w:sz w:val="32"/>
          <w:szCs w:val="32"/>
          <w:highlight w:val="none"/>
          <w:lang w:bidi="ar"/>
        </w:rPr>
      </w:pPr>
      <w:r>
        <w:rPr>
          <w:rFonts w:hint="eastAsia" w:ascii="仿宋_GB2312" w:eastAsia="仿宋_GB2312" w:cs="仿宋_GB2312"/>
          <w:color w:val="000000"/>
          <w:sz w:val="32"/>
          <w:szCs w:val="32"/>
          <w:highlight w:val="none"/>
          <w:lang w:bidi="ar"/>
        </w:rPr>
        <w:t>城镇土地使用税1640万元，占变动预算的113.42%，增长4.73%；</w:t>
      </w:r>
    </w:p>
    <w:p>
      <w:pPr>
        <w:spacing w:line="580" w:lineRule="exact"/>
        <w:rPr>
          <w:rFonts w:hint="eastAsia" w:ascii="仿宋_GB2312" w:eastAsia="仿宋_GB2312" w:cs="仿宋_GB2312"/>
          <w:color w:val="000000"/>
          <w:sz w:val="32"/>
          <w:szCs w:val="32"/>
          <w:highlight w:val="none"/>
          <w:lang w:bidi="ar"/>
        </w:rPr>
      </w:pPr>
      <w:r>
        <w:rPr>
          <w:rFonts w:hint="eastAsia" w:ascii="仿宋_GB2312" w:eastAsia="仿宋_GB2312" w:cs="仿宋_GB2312"/>
          <w:color w:val="000000"/>
          <w:sz w:val="32"/>
          <w:szCs w:val="32"/>
          <w:highlight w:val="none"/>
          <w:lang w:bidi="ar"/>
        </w:rPr>
        <w:t>　　车船税760万元，占变动预算的95%，增长2.29%；</w:t>
      </w:r>
    </w:p>
    <w:p>
      <w:pPr>
        <w:spacing w:line="580" w:lineRule="exact"/>
        <w:ind w:firstLine="640" w:firstLineChars="200"/>
        <w:rPr>
          <w:rFonts w:hint="eastAsia" w:ascii="仿宋_GB2312" w:eastAsia="仿宋_GB2312" w:cs="仿宋_GB2312"/>
          <w:color w:val="000000"/>
          <w:sz w:val="32"/>
          <w:szCs w:val="32"/>
          <w:highlight w:val="none"/>
          <w:lang w:bidi="ar"/>
        </w:rPr>
      </w:pPr>
      <w:r>
        <w:rPr>
          <w:rFonts w:hint="eastAsia" w:ascii="仿宋_GB2312" w:eastAsia="仿宋_GB2312" w:cs="仿宋_GB2312"/>
          <w:color w:val="000000"/>
          <w:sz w:val="32"/>
          <w:szCs w:val="32"/>
          <w:highlight w:val="none"/>
          <w:lang w:bidi="ar"/>
        </w:rPr>
        <w:t>契税426万元，占变动预算的60.86%，下降34.36%。</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sz w:val="32"/>
          <w:szCs w:val="32"/>
          <w:lang w:val="en-US"/>
        </w:rPr>
      </w:pPr>
      <w:r>
        <w:rPr>
          <w:rFonts w:hint="eastAsia" w:ascii="楷体" w:hAnsi="楷体" w:eastAsia="楷体" w:cs="楷体"/>
          <w:b w:val="0"/>
          <w:bCs/>
          <w:kern w:val="0"/>
          <w:sz w:val="32"/>
          <w:szCs w:val="32"/>
          <w:lang w:val="en-US" w:eastAsia="zh-CN" w:bidi="ar"/>
        </w:rPr>
        <w:t>（二）</w:t>
      </w:r>
      <w:r>
        <w:rPr>
          <w:rFonts w:hint="eastAsia" w:ascii="楷体" w:hAnsi="楷体" w:eastAsia="楷体" w:cs="楷体"/>
          <w:color w:val="000000"/>
          <w:sz w:val="32"/>
          <w:szCs w:val="32"/>
          <w:lang w:bidi="ar"/>
        </w:rPr>
        <w:t>非税收入</w:t>
      </w:r>
    </w:p>
    <w:p>
      <w:pPr>
        <w:spacing w:line="580" w:lineRule="exact"/>
        <w:ind w:firstLine="640"/>
        <w:rPr>
          <w:rFonts w:hint="eastAsia" w:ascii="仿宋_GB2312" w:hAnsi="仿宋" w:eastAsia="仿宋_GB2312" w:cs="仿宋_GB2312"/>
          <w:kern w:val="0"/>
          <w:sz w:val="32"/>
          <w:szCs w:val="32"/>
          <w:lang w:val="en-US" w:eastAsia="zh-CN" w:bidi="ar"/>
        </w:rPr>
      </w:pPr>
      <w:r>
        <w:rPr>
          <w:rFonts w:hint="eastAsia" w:ascii="仿宋_GB2312" w:eastAsia="仿宋_GB2312" w:cs="仿宋_GB2312"/>
          <w:color w:val="000000"/>
          <w:sz w:val="32"/>
          <w:szCs w:val="32"/>
          <w:lang w:bidi="ar"/>
        </w:rPr>
        <w:t>非税收入完成13141万元，占变动预算的126.95%，增长22.62%。主要项目完成情况是：</w:t>
      </w:r>
    </w:p>
    <w:p>
      <w:pPr>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bidi="ar"/>
        </w:rPr>
        <w:t>专项收入1131万元，占变动预算的117.69%，下降4.15%；</w:t>
      </w:r>
    </w:p>
    <w:p>
      <w:pPr>
        <w:spacing w:line="580" w:lineRule="exact"/>
        <w:ind w:firstLine="640"/>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行政事业性收费收入1005万元，占变动预算的97.57%，下降11.84%；　</w:t>
      </w:r>
    </w:p>
    <w:p>
      <w:pPr>
        <w:spacing w:line="580" w:lineRule="exact"/>
        <w:ind w:firstLine="640"/>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罚没收入2135万元，占变动预算的82.12%，下降21.36%；</w:t>
      </w:r>
    </w:p>
    <w:p>
      <w:pPr>
        <w:spacing w:line="580" w:lineRule="exact"/>
        <w:rPr>
          <w:rFonts w:hint="eastAsia" w:ascii="仿宋_GB2312" w:hAnsi="仿宋" w:eastAsia="仿宋_GB2312" w:cs="仿宋_GB2312"/>
          <w:kern w:val="0"/>
          <w:sz w:val="32"/>
          <w:szCs w:val="32"/>
          <w:lang w:val="en-US" w:eastAsia="zh-CN" w:bidi="ar"/>
        </w:rPr>
      </w:pPr>
      <w:r>
        <w:rPr>
          <w:rFonts w:hint="eastAsia" w:ascii="仿宋_GB2312" w:eastAsia="仿宋_GB2312" w:cs="仿宋_GB2312"/>
          <w:color w:val="000000"/>
          <w:sz w:val="32"/>
          <w:szCs w:val="32"/>
          <w:lang w:bidi="ar"/>
        </w:rPr>
        <w:t>　　国有资源（资产）有偿使用收入8336万元，占变动预算的158.48%，增长80.94%。</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auto"/>
        <w:rPr>
          <w:rFonts w:hint="eastAsia" w:ascii="黑体" w:hAnsi="黑体" w:eastAsia="黑体" w:cs="黑体"/>
          <w:b w:val="0"/>
          <w:bCs/>
          <w:sz w:val="32"/>
          <w:szCs w:val="32"/>
          <w:lang w:val="en-US"/>
        </w:rPr>
      </w:pPr>
      <w:r>
        <w:rPr>
          <w:rFonts w:hint="eastAsia" w:ascii="黑体" w:hAnsi="黑体" w:eastAsia="黑体" w:cs="黑体"/>
          <w:b w:val="0"/>
          <w:bCs/>
          <w:kern w:val="0"/>
          <w:sz w:val="32"/>
          <w:szCs w:val="32"/>
          <w:lang w:val="en-US" w:eastAsia="zh-CN" w:bidi="ar"/>
        </w:rPr>
        <w:t>二、非税收入相关政策：</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 xml:space="preserve"> 专项收入:是指根据特定需要由国务院批准或者经国务院授权由财政部批准，设置、征集和纳入预算管理、有专门用途的收入。主要包括教育费附加收入、地方教育附加收入、水利建设专项收入等。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行政事业性收费收入:反映依据法律、行政法规、国务院有关规定、国务院财政部门会同价格主管部门共同发布的规章或者规定以及省、自治区、直辖市的地方性法规、政府规章或者规定，省级财政部门会同价格主管部门共同发布的规定收取的各项收费收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罚没收入:反映执法机关依法收缴的罚款(罚金)、没收款、赃款、没收物资、赃物的变价款收入，分为一般罚没收入、缉私罚没收入和缉毒罚没收入三种。</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国有资本经营收入:反映各级人民政府及其部门、机构  履行出资人职责的企业上缴的国有资本收益。有利润收入，股利、股息收入，产权转让收入，清算收入等。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国有资源(资产)有偿使用收入:反映有偿转让国有资源(资产)使用权而取得的收入。主要有海域使用金收入、场地和矿区使用费收入、特种矿产品出售收入、专项储备物资销售收入、利息收入、非经营性国有资产经营收入、出租车经营权有偿出让和转让收入及其他国家资源(资产)有偿使用收入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67257"/>
    <w:multiLevelType w:val="singleLevel"/>
    <w:tmpl w:val="CAF672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F76FE"/>
    <w:rsid w:val="017E15F8"/>
    <w:rsid w:val="07FB1803"/>
    <w:rsid w:val="0BA36BE4"/>
    <w:rsid w:val="0CFD5E8B"/>
    <w:rsid w:val="0FAA0684"/>
    <w:rsid w:val="0FDA0D42"/>
    <w:rsid w:val="104D7E9A"/>
    <w:rsid w:val="126324C5"/>
    <w:rsid w:val="146F76FE"/>
    <w:rsid w:val="17591D56"/>
    <w:rsid w:val="20DB3427"/>
    <w:rsid w:val="234B4954"/>
    <w:rsid w:val="3130325C"/>
    <w:rsid w:val="32AB2BD4"/>
    <w:rsid w:val="38EC79E0"/>
    <w:rsid w:val="3BBE5E16"/>
    <w:rsid w:val="3F0115A7"/>
    <w:rsid w:val="440253A8"/>
    <w:rsid w:val="48454207"/>
    <w:rsid w:val="55A51D1E"/>
    <w:rsid w:val="586428F9"/>
    <w:rsid w:val="5C0E471F"/>
    <w:rsid w:val="605E74A5"/>
    <w:rsid w:val="6DAE1BC8"/>
    <w:rsid w:val="6EEB79CA"/>
    <w:rsid w:val="77A43535"/>
    <w:rsid w:val="77CF1DC6"/>
    <w:rsid w:val="7C70487F"/>
    <w:rsid w:val="7F9C77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2018-10-23T03:03:00Z</dcterms:created>
  <dc:creator>樱雯</dc:creator>
  <cp:lastModifiedBy>水墨丹青</cp:lastModifiedBy>
  <dcterms:modified xsi:type="dcterms:W3CDTF">2020-12-02T14:17:38Z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