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宋体" w:hAnsi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附件</w:t>
      </w:r>
      <w:r>
        <w:rPr>
          <w:rFonts w:ascii="宋体" w:hAnsi="宋体" w:cs="宋体"/>
          <w:b/>
          <w:bCs/>
          <w:kern w:val="0"/>
          <w:sz w:val="24"/>
          <w:szCs w:val="24"/>
        </w:rPr>
        <w:t>1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660" w:lineRule="exact"/>
        <w:jc w:val="center"/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高台县农村经营指导站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  <w:sectPr>
          <w:footerReference r:id="rId3" w:type="default"/>
          <w:pgSz w:w="11906" w:h="16838"/>
          <w:pgMar w:top="1134" w:right="1134" w:bottom="1440" w:left="12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2024年</w:t>
      </w:r>
      <w:r>
        <w:rPr>
          <w:rFonts w:hint="eastAsia" w:ascii="宋体" w:hAnsi="宋体" w:cs="宋体"/>
          <w:b/>
          <w:bCs/>
          <w:kern w:val="0"/>
          <w:sz w:val="44"/>
          <w:szCs w:val="44"/>
          <w:lang w:eastAsia="zh-CN"/>
        </w:rPr>
        <w:t>单位</w:t>
      </w:r>
      <w:r>
        <w:rPr>
          <w:rFonts w:hint="eastAsia" w:ascii="宋体" w:hAnsi="宋体" w:cs="宋体"/>
          <w:b/>
          <w:bCs/>
          <w:kern w:val="0"/>
          <w:sz w:val="44"/>
          <w:szCs w:val="44"/>
        </w:rPr>
        <w:t xml:space="preserve">预算公开情况说明 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目  录</w:t>
      </w:r>
    </w:p>
    <w:p>
      <w:pPr>
        <w:spacing w:line="660" w:lineRule="exact"/>
        <w:jc w:val="center"/>
        <w:rPr>
          <w:rFonts w:ascii="宋体" w:hAnsi="宋体" w:cs="宋体"/>
          <w:b/>
          <w:bCs/>
          <w:kern w:val="0"/>
          <w:sz w:val="44"/>
          <w:szCs w:val="44"/>
        </w:rPr>
      </w:pPr>
    </w:p>
    <w:p>
      <w:pPr>
        <w:spacing w:line="30" w:lineRule="exact"/>
        <w:jc w:val="center"/>
        <w:rPr>
          <w:rFonts w:ascii="黑体" w:eastAsia="黑体"/>
          <w:color w:val="000000"/>
          <w:sz w:val="18"/>
          <w:szCs w:val="18"/>
        </w:rPr>
      </w:pP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 xml:space="preserve">第一部分 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基本概况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职责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二、机构设置情况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第二部分 2024年</w:t>
      </w:r>
      <w:r>
        <w:rPr>
          <w:rFonts w:hint="eastAsia" w:ascii="仿宋_GB2312" w:hAnsi="仿宋" w:eastAsia="仿宋_GB2312"/>
          <w:b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预算情况说明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一、收支总体情况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二、一般公共预算情况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三、一般公共预算财政拨款“三公”经费、培训费、会议费等情况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四、一般公共预算财政拨款机关运行经费情况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五、政府采购安排情况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六、国有资产占用情况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七、其他重要事项情况说明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八、预算绩效管理情况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九、名词解释</w:t>
      </w:r>
    </w:p>
    <w:p>
      <w:pPr>
        <w:spacing w:line="560" w:lineRule="exact"/>
        <w:ind w:firstLine="602" w:firstLineChars="200"/>
        <w:jc w:val="left"/>
        <w:rPr>
          <w:rFonts w:ascii="仿宋_GB2312" w:hAnsi="仿宋" w:eastAsia="仿宋_GB2312"/>
          <w:b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color w:val="000000"/>
          <w:sz w:val="30"/>
          <w:szCs w:val="30"/>
        </w:rPr>
        <w:t>第三部分 2024年部门（单位）预算公开表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一、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二、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收入总体情况表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三、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支出总体情况表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四、财政拨款收支总体情况表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五、财政拨款支出表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六、一般公共预算支出情况表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七、一般公共预算基本支出情况表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pacing w:val="-2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八、</w:t>
      </w:r>
      <w:r>
        <w:rPr>
          <w:rFonts w:hint="eastAsia" w:ascii="仿宋_GB2312" w:hAnsi="仿宋" w:eastAsia="仿宋_GB2312"/>
          <w:color w:val="000000"/>
          <w:spacing w:val="-20"/>
          <w:sz w:val="30"/>
          <w:szCs w:val="30"/>
        </w:rPr>
        <w:t>一般公共预算财政拨款“三公”经费、会议费、培训费支出情况表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九、一般公共预算财政拨款机关运行经费表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十、政府性基金预算支出情况表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十一、部门管理转移支付表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十二、国有资本经营预算支出情况表</w:t>
      </w:r>
    </w:p>
    <w:p>
      <w:pPr>
        <w:spacing w:line="560" w:lineRule="exact"/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十三、</w:t>
      </w:r>
      <w:r>
        <w:rPr>
          <w:rFonts w:hint="eastAsia" w:ascii="仿宋_GB2312" w:hAnsi="仿宋" w:eastAsia="仿宋_GB2312"/>
          <w:color w:val="000000"/>
          <w:sz w:val="30"/>
          <w:szCs w:val="30"/>
          <w:lang w:eastAsia="zh-CN"/>
        </w:rPr>
        <w:t>单位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整体支出绩效目标表和项目支出绩效目标表</w:t>
      </w:r>
    </w:p>
    <w:p>
      <w:pPr>
        <w:spacing w:line="660" w:lineRule="exact"/>
        <w:jc w:val="center"/>
        <w:rPr>
          <w:rFonts w:ascii="仿宋_GB2312" w:hAnsi="宋体" w:eastAsia="仿宋_GB2312" w:cs="宋体"/>
          <w:b/>
          <w:bCs/>
          <w:kern w:val="0"/>
          <w:sz w:val="44"/>
          <w:szCs w:val="44"/>
        </w:rPr>
      </w:pPr>
    </w:p>
    <w:p>
      <w:pPr>
        <w:spacing w:line="600" w:lineRule="exact"/>
        <w:ind w:firstLine="562" w:firstLineChars="200"/>
        <w:rPr>
          <w:rFonts w:ascii="仿宋_GB2312" w:hAnsi="仿宋" w:eastAsia="仿宋_GB2312" w:cs="宋体"/>
          <w:b/>
          <w:kern w:val="0"/>
          <w:sz w:val="28"/>
          <w:szCs w:val="28"/>
        </w:rPr>
        <w:sectPr>
          <w:footerReference r:id="rId4" w:type="default"/>
          <w:pgSz w:w="11906" w:h="16838"/>
          <w:pgMar w:top="1134" w:right="1134" w:bottom="1440" w:left="1276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312" w:charSpace="0"/>
        </w:sectPr>
      </w:pPr>
    </w:p>
    <w:p>
      <w:pPr>
        <w:spacing w:line="600" w:lineRule="exact"/>
        <w:ind w:firstLine="643" w:firstLineChars="200"/>
        <w:rPr>
          <w:rFonts w:ascii="仿宋_GB2312" w:hAnsi="黑体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黑体" w:eastAsia="仿宋_GB2312" w:cs="宋体"/>
          <w:b/>
          <w:kern w:val="0"/>
          <w:sz w:val="32"/>
          <w:szCs w:val="32"/>
        </w:rPr>
        <w:t>前言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按照《中华人民共和国预算法》《中华人民共和国预算法实施条例》以及</w:t>
      </w:r>
      <w:r>
        <w:rPr>
          <w:rFonts w:ascii="仿宋_GB2312" w:hAnsi="仿宋" w:eastAsia="仿宋_GB2312" w:cs="宋体"/>
          <w:kern w:val="0"/>
          <w:sz w:val="32"/>
          <w:szCs w:val="32"/>
        </w:rPr>
        <w:t>财政部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《地方预决算公开操作规程》《关于推进部门所属单位预算公开的指导意见》和《中共甘肃省委办公厅 甘肃省人民政府办公厅关于进一步推进预算公开工作的实施方案》要求，现将2024年部门预算公开如下：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一、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宋体"/>
          <w:kern w:val="0"/>
          <w:sz w:val="32"/>
          <w:szCs w:val="32"/>
        </w:rPr>
        <w:t>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36" w:firstLineChars="200"/>
        <w:jc w:val="both"/>
        <w:textAlignment w:val="auto"/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  <w:t>高台县农村经营指导站是县财政二级拨款单位，主要职责：农村土地承包、土地流转、农村产权交易服务提供，农村合作社、家庭农场、农村集体财务工作指导服务等。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二、机构设置情况</w:t>
      </w:r>
    </w:p>
    <w:p>
      <w:pPr>
        <w:spacing w:line="600" w:lineRule="exact"/>
        <w:ind w:firstLine="643" w:firstLineChars="200"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（一）机关内设机构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32" w:lineRule="atLeast"/>
        <w:ind w:left="0" w:right="0" w:firstLine="420"/>
        <w:jc w:val="left"/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</w:pP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  <w:t>高台县农村经营指导站现有事业编制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  <w:t>人，其中：财政拨款在职人员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仿宋_GB2312" w:hAnsi="仿宋_GB2312" w:eastAsia="仿宋_GB2312" w:cs="仿宋_GB2312"/>
          <w:spacing w:val="-1"/>
          <w:kern w:val="2"/>
          <w:sz w:val="32"/>
          <w:szCs w:val="32"/>
          <w:lang w:val="en-US" w:eastAsia="en-US" w:bidi="ar-SA"/>
        </w:rPr>
        <w:t>人 ，退休人员9人。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三、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单位</w:t>
      </w:r>
      <w:r>
        <w:rPr>
          <w:rFonts w:hint="eastAsia" w:ascii="黑体" w:hAnsi="黑体" w:eastAsia="黑体" w:cs="宋体"/>
          <w:kern w:val="0"/>
          <w:sz w:val="32"/>
          <w:szCs w:val="32"/>
        </w:rPr>
        <w:t>收支总体情况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按照预算管理有关规定，2024年部门（单位）收支包括机关预算和直属单位预算在内的汇总情况。</w:t>
      </w:r>
    </w:p>
    <w:p>
      <w:pPr>
        <w:spacing w:line="600" w:lineRule="exact"/>
        <w:ind w:firstLine="640" w:firstLineChars="200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2024年部门收支总预算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4262.69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万元。按照综合预算的原则，部门（单位）所有收入和支出均纳入部门预算管理。收入包括：一般公共预算拨款收入、上年结转；支出包括：一般公共服务支出、公共安全支出、教育支出、科学技术支出、社会保障和就业支出、卫生健康支出、交通运输支出、住房保障支出、其他支出。</w:t>
      </w:r>
    </w:p>
    <w:p>
      <w:pPr>
        <w:spacing w:line="600" w:lineRule="exact"/>
        <w:ind w:firstLine="643" w:firstLineChars="200"/>
        <w:rPr>
          <w:rFonts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（一）收入预算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2024年收入预算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4262.69</w:t>
      </w:r>
      <w:r>
        <w:rPr>
          <w:rFonts w:hint="eastAsia" w:ascii="仿宋_GB2312" w:hAnsi="仿宋" w:eastAsia="仿宋_GB2312"/>
          <w:sz w:val="32"/>
          <w:szCs w:val="32"/>
        </w:rPr>
        <w:t>万元（详见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预算公开表1,2）。包括：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一般公共预算收入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4178.96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98.04</w:t>
      </w:r>
      <w:r>
        <w:rPr>
          <w:rFonts w:hint="eastAsia" w:ascii="仿宋_GB2312" w:hAnsi="仿宋" w:eastAsia="仿宋_GB2312"/>
          <w:sz w:val="32"/>
          <w:szCs w:val="32"/>
        </w:rPr>
        <w:t>%；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上年结转收入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83.73</w:t>
      </w:r>
      <w:r>
        <w:rPr>
          <w:rFonts w:hint="eastAsia" w:ascii="仿宋_GB2312" w:hAnsi="仿宋" w:eastAsia="仿宋_GB2312"/>
          <w:sz w:val="32"/>
          <w:szCs w:val="32"/>
        </w:rPr>
        <w:t>万元，占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1.96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spacing w:line="560" w:lineRule="exact"/>
        <w:ind w:firstLine="420" w:firstLineChars="200"/>
        <w:jc w:val="center"/>
        <w:rPr>
          <w:rFonts w:hint="eastAsia" w:ascii="黑体" w:hAnsi="黑体" w:eastAsia="黑体" w:cs="黑体"/>
          <w:sz w:val="32"/>
          <w:szCs w:val="3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34290</wp:posOffset>
            </wp:positionV>
            <wp:extent cx="5579110" cy="3148330"/>
            <wp:effectExtent l="0" t="0" r="2540" b="13970"/>
            <wp:wrapNone/>
            <wp:docPr id="11" name="图片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79110" cy="314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sz w:val="32"/>
          <w:szCs w:val="32"/>
        </w:rPr>
        <w:t>图1：收入预算构成</w:t>
      </w:r>
    </w:p>
    <w:p>
      <w:pPr>
        <w:widowControl/>
        <w:spacing w:line="560" w:lineRule="exact"/>
        <w:ind w:firstLine="420" w:firstLineChars="200"/>
        <w:jc w:val="center"/>
      </w:pPr>
    </w:p>
    <w:p>
      <w:pPr>
        <w:widowControl/>
        <w:spacing w:line="560" w:lineRule="exact"/>
        <w:ind w:firstLine="420" w:firstLineChars="200"/>
        <w:jc w:val="center"/>
      </w:pPr>
      <w:r>
        <w:drawing>
          <wp:inline distT="0" distB="0" distL="114300" distR="114300">
            <wp:extent cx="4727575" cy="2956560"/>
            <wp:effectExtent l="0" t="0" r="15875" b="15240"/>
            <wp:docPr id="12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757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560" w:lineRule="exact"/>
        <w:ind w:firstLine="420" w:firstLineChars="200"/>
        <w:jc w:val="center"/>
      </w:pPr>
    </w:p>
    <w:p>
      <w:pPr>
        <w:widowControl/>
        <w:spacing w:line="560" w:lineRule="exact"/>
        <w:ind w:firstLine="420" w:firstLineChars="200"/>
        <w:jc w:val="center"/>
        <w:rPr>
          <w:rFonts w:hint="eastAsia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（二）支出预算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2024年支出预算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4262.69</w:t>
      </w:r>
      <w:r>
        <w:rPr>
          <w:rFonts w:hint="eastAsia" w:ascii="仿宋_GB2312" w:hAnsi="仿宋" w:eastAsia="仿宋_GB2312"/>
          <w:sz w:val="32"/>
          <w:szCs w:val="32"/>
        </w:rPr>
        <w:t>万元（详见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预算公开表3）。</w:t>
      </w:r>
      <w:r>
        <w:rPr>
          <w:rStyle w:val="21"/>
          <w:rFonts w:hint="default" w:hAnsi="仿宋"/>
        </w:rPr>
        <w:t>其中：基本支出</w:t>
      </w:r>
      <w:r>
        <w:rPr>
          <w:rStyle w:val="22"/>
          <w:rFonts w:hint="eastAsia" w:ascii="仿宋_GB2312" w:hAnsi="仿宋" w:eastAsia="仿宋_GB2312"/>
        </w:rPr>
        <w:t>149.96</w:t>
      </w:r>
      <w:r>
        <w:rPr>
          <w:rStyle w:val="21"/>
          <w:rFonts w:hint="default" w:hAnsi="仿宋"/>
        </w:rPr>
        <w:t>万元， 占</w:t>
      </w:r>
      <w:r>
        <w:rPr>
          <w:rStyle w:val="21"/>
          <w:rFonts w:hint="eastAsia" w:hAnsi="仿宋" w:eastAsia="仿宋_GB2312"/>
          <w:lang w:val="en-US" w:eastAsia="zh-CN"/>
        </w:rPr>
        <w:t>3.52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； 项目支出4029万元，占</w:t>
      </w:r>
      <w:r>
        <w:rPr>
          <w:rStyle w:val="22"/>
          <w:rFonts w:hint="eastAsia" w:ascii="仿宋_GB2312" w:hAnsi="仿宋" w:eastAsia="仿宋_GB2312"/>
          <w:lang w:val="en-US" w:eastAsia="zh-CN"/>
        </w:rPr>
        <w:t>94.52</w:t>
      </w:r>
      <w:r>
        <w:rPr>
          <w:rStyle w:val="22"/>
          <w:rFonts w:hint="eastAsia" w:ascii="仿宋_GB2312" w:hAnsi="仿宋" w:eastAsia="仿宋_GB2312"/>
        </w:rPr>
        <w:t xml:space="preserve"> %</w:t>
      </w:r>
      <w:r>
        <w:rPr>
          <w:rStyle w:val="21"/>
          <w:rFonts w:hint="default" w:hAnsi="仿宋"/>
        </w:rPr>
        <w:t>； 上年结转</w:t>
      </w:r>
      <w:r>
        <w:rPr>
          <w:rStyle w:val="22"/>
          <w:rFonts w:hint="eastAsia" w:ascii="仿宋_GB2312" w:hAnsi="仿宋" w:eastAsia="仿宋_GB2312"/>
        </w:rPr>
        <w:t>83.72</w:t>
      </w:r>
      <w:r>
        <w:rPr>
          <w:rStyle w:val="21"/>
          <w:rFonts w:hint="default" w:hAnsi="仿宋"/>
        </w:rPr>
        <w:t>万元， 占</w:t>
      </w:r>
      <w:r>
        <w:rPr>
          <w:rStyle w:val="22"/>
          <w:rFonts w:hint="eastAsia" w:ascii="仿宋_GB2312" w:hAnsi="仿宋" w:eastAsia="仿宋_GB2312"/>
          <w:lang w:val="en-US" w:eastAsia="zh-CN"/>
        </w:rPr>
        <w:t>1.96</w:t>
      </w:r>
      <w:r>
        <w:rPr>
          <w:rStyle w:val="22"/>
          <w:rFonts w:hint="eastAsia" w:ascii="仿宋_GB2312" w:hAnsi="仿宋" w:eastAsia="仿宋_GB2312"/>
        </w:rPr>
        <w:t>%</w:t>
      </w:r>
      <w:r>
        <w:rPr>
          <w:rStyle w:val="21"/>
          <w:rFonts w:hint="default" w:hAnsi="仿宋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四、一般公共预算情况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Style w:val="21"/>
          <w:rFonts w:hint="eastAsia" w:hAnsi="仿宋"/>
        </w:rPr>
      </w:pPr>
      <w:r>
        <w:rPr>
          <w:rStyle w:val="22"/>
          <w:rFonts w:hint="eastAsia" w:ascii="仿宋_GB2312" w:hAnsi="仿宋" w:eastAsia="仿宋_GB2312"/>
        </w:rPr>
        <w:t xml:space="preserve">2024 </w:t>
      </w:r>
      <w:r>
        <w:rPr>
          <w:rStyle w:val="21"/>
          <w:rFonts w:hint="default" w:hAnsi="仿宋"/>
        </w:rPr>
        <w:t>年一般公共预算当年支出4178.96</w:t>
      </w:r>
      <w:r>
        <w:rPr>
          <w:rStyle w:val="21"/>
          <w:rFonts w:hint="default" w:hAnsi="仿宋"/>
        </w:rPr>
        <w:t>万元，包括：社会保障和就业支出</w:t>
      </w:r>
      <w:r>
        <w:rPr>
          <w:rStyle w:val="21"/>
          <w:rFonts w:hint="eastAsia" w:hAnsi="仿宋"/>
          <w:lang w:val="en-US" w:eastAsia="zh-CN"/>
        </w:rPr>
        <w:t>14.97</w:t>
      </w:r>
      <w:r>
        <w:rPr>
          <w:rStyle w:val="21"/>
          <w:rFonts w:hint="default" w:hAnsi="仿宋"/>
        </w:rPr>
        <w:t>万元、</w:t>
      </w:r>
      <w:r>
        <w:rPr>
          <w:rStyle w:val="21"/>
          <w:rFonts w:hint="eastAsia" w:hAnsi="仿宋"/>
          <w:lang w:val="en-US" w:eastAsia="zh-CN"/>
        </w:rPr>
        <w:t>卫生健康支出11.98万元、农林水支出</w:t>
      </w:r>
      <w:r>
        <w:rPr>
          <w:rStyle w:val="21"/>
          <w:rFonts w:hint="default" w:hAnsi="仿宋"/>
        </w:rPr>
        <w:t>4140.43</w:t>
      </w:r>
      <w:r>
        <w:rPr>
          <w:rStyle w:val="21"/>
          <w:rFonts w:hint="eastAsia" w:hAnsi="仿宋"/>
          <w:lang w:val="en-US" w:eastAsia="zh-CN"/>
        </w:rPr>
        <w:t>万元、住房保障支出11.58万元</w:t>
      </w:r>
      <w:r>
        <w:rPr>
          <w:rStyle w:val="21"/>
          <w:rFonts w:hint="default" w:hAnsi="仿宋"/>
        </w:rPr>
        <w:t>。</w:t>
      </w:r>
      <w:r>
        <w:rPr>
          <w:rStyle w:val="21"/>
          <w:rFonts w:hint="eastAsia" w:hAnsi="仿宋"/>
        </w:rPr>
        <w:t>具体安排情况如下（详见部门（单位）预算公开表4,5,6,7）：</w:t>
      </w: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</w:p>
    <w:p>
      <w:pPr>
        <w:widowControl/>
        <w:adjustRightInd w:val="0"/>
        <w:snapToGrid w:val="0"/>
        <w:spacing w:line="640" w:lineRule="exact"/>
        <w:contextualSpacing/>
        <w:jc w:val="left"/>
        <w:rPr>
          <w:rFonts w:hint="eastAsia" w:ascii="仿宋_GB2312" w:hAnsi="仿宋" w:eastAsia="仿宋_GB2312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-2741930</wp:posOffset>
            </wp:positionV>
            <wp:extent cx="5705475" cy="3048635"/>
            <wp:effectExtent l="0" t="0" r="9525" b="18415"/>
            <wp:wrapNone/>
            <wp:docPr id="10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（一）基本支出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default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2024年基本支出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149.96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增长2.74%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2024年将基本公用经费列入了基本支出。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其中：人员经费支出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138.79</w:t>
      </w:r>
      <w:r>
        <w:rPr>
          <w:rFonts w:hint="eastAsia" w:ascii="仿宋_GB2312" w:hAnsi="仿宋" w:eastAsia="仿宋_GB2312"/>
          <w:sz w:val="32"/>
          <w:szCs w:val="32"/>
        </w:rPr>
        <w:t>万元，主要包括：基本工资、津贴补贴、奖金、伙食补助费、绩效工资、机关事业单位基本养老保险缴费、职业年金缴费、职工基本医疗保险缴费、公务员医疗补助缴费、其他社会保障缴费、住房公积金、医疗费、其他工资福利支出、离休费、退休费、退职（役）费、抚恤金、生活补助、救济费、医疗费补助、助学金、奖励金、个人农业生产补贴、代缴社会保险费 、其他对个人和家庭的补助等。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公用经费支出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11.18</w:t>
      </w:r>
      <w:r>
        <w:rPr>
          <w:rFonts w:hint="eastAsia" w:ascii="仿宋_GB2312" w:hAnsi="仿宋" w:eastAsia="仿宋_GB2312"/>
          <w:sz w:val="32"/>
          <w:szCs w:val="32"/>
        </w:rPr>
        <w:t>万元，主要包括：办公费、印刷费、咨询费、手续费、水费、电费、邮电费、取暖费、物业管理费、差旅费、因公出国（境）费、维修（护）费、租赁费、会议费、培训费、公务接待费、专用材料费、被装购置费、专用燃料费、劳务费、委托业务费、工会经费、福利费、公务用车运行维护费、其他交通费用、税金及附加费用、其他商品和服务支出、办公设备购置、专用设备购置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（二）项目支出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2024年一般公共预算财政拨款项目支出预算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4112.73</w:t>
      </w:r>
      <w:r>
        <w:rPr>
          <w:rFonts w:hint="eastAsia" w:ascii="仿宋_GB2312" w:hAnsi="仿宋" w:eastAsia="仿宋_GB2312"/>
          <w:sz w:val="32"/>
          <w:szCs w:val="32"/>
        </w:rPr>
        <w:t>万元，比2023年预算增加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4085.73</w:t>
      </w:r>
      <w:r>
        <w:rPr>
          <w:rFonts w:hint="eastAsia" w:ascii="仿宋_GB2312" w:hAnsi="仿宋" w:eastAsia="仿宋_GB2312"/>
          <w:sz w:val="32"/>
          <w:szCs w:val="32"/>
        </w:rPr>
        <w:t>万元，增长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151.32</w:t>
      </w:r>
      <w:r>
        <w:rPr>
          <w:rFonts w:hint="eastAsia" w:ascii="仿宋_GB2312" w:hAnsi="仿宋" w:eastAsia="仿宋_GB2312"/>
          <w:sz w:val="32"/>
          <w:szCs w:val="32"/>
        </w:rPr>
        <w:t>%，增长的主要原因是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上级提前下达项目资金增加。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其他项目4个，主要是项目1：2023年省级农村集体产权制度改革资金7.6万元（上年结转）、项目2：2023年农业经营主体能力提升资金——高素质农民培育1.55万元（上年结转）、项目3：中央和省级农村综合改革转移支付资金927.63万元（上年结转69.63万元）、项目4：中央耕地建设与利用资金（耕地地力保护补贴）3145万元。 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保障运转经费项目4个，主要是项目1：农村土地承包管理、土地流转及土地纠纷调处仲裁工作经费2万元、项目2：农村产权制度改革工作经费12万元、项目3：农村“三资”管理及惠农政策培训4万元，项目4：村集体经济组织财务审计8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（三）支出功能分类说明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TimesNewRomanPS-BoldMT" w:eastAsia="仿宋_GB2312"/>
          <w:bCs/>
          <w:color w:val="000000"/>
          <w:sz w:val="32"/>
          <w:szCs w:val="32"/>
          <w:lang w:val="en-US" w:eastAsia="zh-CN"/>
        </w:rPr>
        <w:t>无</w:t>
      </w:r>
      <w:r>
        <w:rPr>
          <w:rFonts w:hint="eastAsia" w:ascii="仿宋_GB2312" w:eastAsia="仿宋_GB2312"/>
          <w:color w:val="000000"/>
          <w:sz w:val="32"/>
          <w:szCs w:val="32"/>
        </w:rPr>
        <w:t>一般公共服务纪检监察事务派驻派出机构预算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五、部门（单位）一般公共预算财政拨款“三公”经费、培训费、会议费等情况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（一）“三公”经费情况说明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仿宋" w:eastAsia="仿宋_GB2312" w:cs="宋体"/>
          <w:b/>
          <w:kern w:val="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“三公”经费预算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  <w:t>2.8</w:t>
      </w:r>
      <w:r>
        <w:rPr>
          <w:rFonts w:hint="eastAsia" w:ascii="仿宋_GB2312" w:hAnsi="仿宋" w:eastAsia="仿宋_GB2312"/>
          <w:sz w:val="32"/>
          <w:szCs w:val="32"/>
        </w:rPr>
        <w:t>万元，较2023年预算减少</w:t>
      </w:r>
      <w:r>
        <w:rPr>
          <w:rFonts w:hint="eastAsia" w:ascii="仿宋_GB2312" w:hAnsi="宋体" w:eastAsia="仿宋_GB2312" w:cs="仿宋_GB2312"/>
          <w:color w:val="000000"/>
          <w:spacing w:val="-6"/>
          <w:kern w:val="0"/>
          <w:sz w:val="32"/>
          <w:szCs w:val="32"/>
          <w:lang w:val="en-US" w:eastAsia="zh-CN" w:bidi="ar"/>
        </w:rPr>
        <w:t>1.2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1.因公出国（境）费用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本年度没有因公出国事项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640" w:firstLineChars="20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2.公务接待费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0.8</w:t>
      </w:r>
      <w:r>
        <w:rPr>
          <w:rFonts w:hint="eastAsia" w:ascii="仿宋_GB2312" w:hAnsi="仿宋" w:eastAsia="仿宋_GB2312"/>
          <w:sz w:val="32"/>
          <w:szCs w:val="32"/>
        </w:rPr>
        <w:t>万元，较2023年预算减少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>元，下降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0.2 </w:t>
      </w:r>
      <w:r>
        <w:rPr>
          <w:rFonts w:hint="eastAsia" w:ascii="仿宋_GB2312" w:hAnsi="仿宋" w:eastAsia="仿宋_GB2312"/>
          <w:sz w:val="32"/>
          <w:szCs w:val="32"/>
        </w:rPr>
        <w:t>%，下降的主要原因是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落实过紧日子要求，大力压减一般性支出。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432" w:lineRule="atLeast"/>
        <w:ind w:left="0" w:right="0" w:firstLine="42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3.公务用车购置及运行维护费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万元（其中：公务用车购置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万元，公务用车运行维护费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万元），较2023年预算减少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下降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  <w:t>0.5</w:t>
      </w:r>
      <w:r>
        <w:rPr>
          <w:rFonts w:hint="eastAsia" w:ascii="仿宋_GB2312" w:hAnsi="仿宋" w:eastAsia="仿宋_GB2312"/>
          <w:sz w:val="32"/>
          <w:szCs w:val="32"/>
        </w:rPr>
        <w:t>%，增长（下降）的主要原因是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 xml:space="preserve">落实过紧日子要求，大力压减一般性支出。 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（二）培训费预算情况说明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ascii="仿宋_GB2312" w:hAnsi="仿宋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4.培训费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未安排预算，部门管理转移支付表为空表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（三）会议费预算情况说明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hint="eastAsia" w:eastAsia="仿宋_GB231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5.会议费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未安排预算，部门管理转移支付表为空表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tbl>
      <w:tblPr>
        <w:tblStyle w:val="9"/>
        <w:tblW w:w="944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1" w:hRule="atLeast"/>
        </w:trPr>
        <w:tc>
          <w:tcPr>
            <w:tcW w:w="9440" w:type="dxa"/>
            <w:shd w:val="clear" w:color="auto" w:fill="auto"/>
          </w:tcPr>
          <w:p>
            <w:pPr>
              <w:jc w:val="center"/>
              <w:rPr>
                <w:rFonts w:ascii="仿宋_GB2312" w:hAnsi="微软雅黑" w:eastAsia="仿宋_GB2312"/>
                <w:b/>
                <w:sz w:val="32"/>
                <w:szCs w:val="32"/>
              </w:rPr>
            </w:pPr>
            <w:r>
              <w:drawing>
                <wp:inline distT="0" distB="0" distL="114300" distR="114300">
                  <wp:extent cx="5842635" cy="2957830"/>
                  <wp:effectExtent l="0" t="0" r="5715" b="13970"/>
                  <wp:docPr id="4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2635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六、一般公共预算财政拨款机关运行经费情况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/>
          <w:sz w:val="32"/>
          <w:szCs w:val="32"/>
        </w:rPr>
        <w:t>机关运行经费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val="en-US" w:eastAsia="zh-CN" w:bidi="ar"/>
        </w:rPr>
        <w:t>未安排预算，一般公共预算机关运行经费表为空表。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七、政府采购安排情况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2024年，部门（单位）政府采购预算总额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16.56</w:t>
      </w:r>
      <w:r>
        <w:rPr>
          <w:rFonts w:hint="eastAsia" w:ascii="仿宋_GB2312" w:hAnsi="仿宋" w:eastAsia="仿宋_GB2312"/>
          <w:sz w:val="32"/>
          <w:szCs w:val="32"/>
        </w:rPr>
        <w:t>万元，其中：政府采购货物预算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2.76</w:t>
      </w:r>
      <w:r>
        <w:rPr>
          <w:rFonts w:hint="eastAsia" w:ascii="仿宋_GB2312" w:hAnsi="仿宋" w:eastAsia="仿宋_GB2312"/>
          <w:sz w:val="32"/>
          <w:szCs w:val="32"/>
        </w:rPr>
        <w:t>万元，政府采购工程预算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万元，政府采购服务预算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13.8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2024年，部门（单位）面向中小企业预留政府采购项目预算金额  万元，小微企业预留政府采购项目预算金额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16.56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八、国有资产占用情况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上年末固定资产金额为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144.49</w:t>
      </w:r>
      <w:r>
        <w:rPr>
          <w:rFonts w:hint="eastAsia" w:ascii="仿宋_GB2312" w:hAnsi="仿宋" w:eastAsia="仿宋_GB2312"/>
          <w:sz w:val="32"/>
          <w:szCs w:val="32"/>
        </w:rPr>
        <w:t>万元。其中：办公用房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266.11</w:t>
      </w:r>
      <w:r>
        <w:rPr>
          <w:rFonts w:hint="eastAsia" w:ascii="仿宋_GB2312" w:hAnsi="仿宋" w:eastAsia="仿宋_GB2312"/>
          <w:sz w:val="32"/>
          <w:szCs w:val="32"/>
        </w:rPr>
        <w:t>平方米，价值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万元。预算部门（单位）共有公务用车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辆，价值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16.49</w:t>
      </w:r>
      <w:r>
        <w:rPr>
          <w:rFonts w:hint="eastAsia" w:ascii="仿宋_GB2312" w:hAnsi="仿宋" w:eastAsia="仿宋_GB2312"/>
          <w:sz w:val="32"/>
          <w:szCs w:val="32"/>
        </w:rPr>
        <w:t>万元。单价20万元以上的设备价值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万元。2024年拟采购固定资产约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2.76</w:t>
      </w:r>
      <w:r>
        <w:rPr>
          <w:rFonts w:hint="eastAsia" w:ascii="仿宋_GB2312" w:hAnsi="仿宋" w:eastAsia="仿宋_GB2312"/>
          <w:sz w:val="32"/>
          <w:szCs w:val="32"/>
        </w:rPr>
        <w:t>万元。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九、其他重要事项情况说明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（一）政府性基金预算支出情况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未安排预算，政府性基金预算支出情况表为空表。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（二）非税收入情况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2024年本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涉及非税收入，2024年计划征收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hAnsi="仿宋" w:eastAsia="仿宋_GB2312"/>
          <w:sz w:val="32"/>
          <w:szCs w:val="32"/>
        </w:rPr>
        <w:t>万元。其中：</w:t>
      </w:r>
      <w:r>
        <w:rPr>
          <w:rFonts w:hint="eastAsia" w:ascii="仿宋_GB2312" w:eastAsia="仿宋_GB2312"/>
          <w:sz w:val="32"/>
          <w:szCs w:val="32"/>
          <w:lang w:eastAsia="zh-CN"/>
        </w:rPr>
        <w:t>其中：中央（省级）批准设立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  <w:lang w:eastAsia="zh-CN"/>
        </w:rPr>
        <w:t>个，主要是其他利息收入，计划征收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0.2</w:t>
      </w:r>
      <w:r>
        <w:rPr>
          <w:rFonts w:hint="eastAsia" w:ascii="仿宋_GB2312" w:eastAsia="仿宋_GB2312"/>
          <w:sz w:val="32"/>
          <w:szCs w:val="32"/>
          <w:lang w:eastAsia="zh-CN"/>
        </w:rPr>
        <w:t>万元。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（三）重点项目情况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项目名称：2024年中央财政耕地建设与利用资金（耕地地力保护补贴）项目概况：甘肃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省财政厅提前下达中央财政耕地地力保护补贴资金3145万元，严格坚持“保持政策连续、稳定补贴面积、完善补贴方法、坚持公开透明、分配科学合理”原则，精准核定补贴面积，及时足额兑付补贴资金，提高农民保护耕地的积极性，支持粮食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立项依据：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《甘肃省财政厅关于提前下达22024年中央财政耕地建设与利用资金（耕地地力保护补贴）预算的通知》（甘财农【2023】136号）。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实施主体：高台县农村经营指导站；实施周期：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1年；</w:t>
      </w:r>
      <w:r>
        <w:rPr>
          <w:rFonts w:hint="eastAsia" w:ascii="仿宋_GB2312" w:eastAsia="仿宋_GB2312"/>
          <w:sz w:val="32"/>
          <w:szCs w:val="32"/>
          <w:lang w:eastAsia="zh-CN"/>
        </w:rPr>
        <w:t>实施计划：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制定耕地地力保护补贴发放实施方案，核定全县享受耕地地力保护补贴面积，确保按时足额将资金发放到位。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638" w:leftChars="304" w:firstLine="0" w:firstLineChars="0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年度预算安排：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中央财政耕地地力保护补贴资金3145万元。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预期总体目标：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坚持“保持政策连续、稳定补贴面积、完善补贴方法、坚持公开透明、分配科学合理”原则，根据上级方案制定下发县级耕地地力保护补贴发放实施方案，精准核定补贴面积，及时足额兑付补贴资金，提高农民保护耕地的积极性，支持粮食生产，化学肥料减少或持平，有机肥施量增加，耕地地力水平持平或提高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（四）部门管理转移支付情况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“未安排预算，部门管理转移支付表为空表。”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（五）国有资本经营预算支出情况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“未安排预算，国有资本经营预算支出情况表为空表。”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十、预算绩效管理情况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（一）2023年预算绩效管理工作情况。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按照《中共中央 国务院关于全面实施预算绩效管理的意见》《中共甘肃省委 甘肃省人民政府关于全面实施预算绩效管理的实施意见》等相关要求，我们将绩效理念和方法融入预算编制、执行、决算和监督全过程认真开展各项工作。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1.绩效目标管理情况。</w:t>
      </w:r>
      <w:r>
        <w:rPr>
          <w:rFonts w:hint="eastAsia" w:ascii="仿宋_GB2312" w:hAnsi="仿宋" w:eastAsia="仿宋_GB2312"/>
          <w:sz w:val="32"/>
          <w:szCs w:val="32"/>
        </w:rPr>
        <w:t>2023年度，按照“谁申请资金，谁设置目标”的原则，纳入部门预算管理的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整体支出和项目绩效目标   个，按规定随年度预算一并公开项目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" w:eastAsia="仿宋_GB2312"/>
          <w:sz w:val="32"/>
          <w:szCs w:val="32"/>
        </w:rPr>
        <w:t>个，公开率为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2.绩效运行监控情况。</w:t>
      </w:r>
      <w:r>
        <w:rPr>
          <w:rFonts w:hint="eastAsia" w:ascii="仿宋_GB2312" w:hAnsi="仿宋" w:eastAsia="仿宋_GB2312"/>
          <w:sz w:val="32"/>
          <w:szCs w:val="32"/>
        </w:rPr>
        <w:t>2023年7月，组织开展1-6月绩效运行监控项目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个，占本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%。截至7月底，如期完成预算执行和绩效目标指标值的项目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6.25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。开展1-9月绩效运行监控项目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个，占本部门（单位）项目的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%。截至10月底，如期完成预算执行和绩效目标指标值的项目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个，完成率为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hAnsi="仿宋" w:eastAsia="仿宋_GB2312"/>
          <w:sz w:val="32"/>
          <w:szCs w:val="32"/>
        </w:rPr>
        <w:t>%。“双监控”发现存在的问题和主要原因是：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。绩效运行监控在部门内部通报整改情况：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3.绩效自评开展情况。</w:t>
      </w:r>
      <w:r>
        <w:rPr>
          <w:rFonts w:hint="eastAsia" w:ascii="仿宋_GB2312" w:hAnsi="仿宋" w:eastAsia="仿宋_GB2312"/>
          <w:sz w:val="32"/>
          <w:szCs w:val="32"/>
        </w:rPr>
        <w:t>2023年度，组织开展绩效自评项目共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个，其中，部门（单位）整体支出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个，项目支出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16</w:t>
      </w:r>
      <w:r>
        <w:rPr>
          <w:rFonts w:hint="eastAsia" w:ascii="仿宋_GB2312" w:hAnsi="仿宋" w:eastAsia="仿宋_GB2312"/>
          <w:sz w:val="32"/>
          <w:szCs w:val="32"/>
        </w:rPr>
        <w:t>个，转移支付项目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个，绩效自评覆盖率为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100</w:t>
      </w:r>
      <w:r>
        <w:rPr>
          <w:rFonts w:hint="eastAsia" w:ascii="仿宋_GB2312" w:hAnsi="仿宋" w:eastAsia="仿宋_GB2312"/>
          <w:sz w:val="32"/>
          <w:szCs w:val="32"/>
        </w:rPr>
        <w:t>%。绩效自评结果随部门决算报送财政和随决算公开情况：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无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widowControl/>
        <w:adjustRightInd w:val="0"/>
        <w:snapToGrid w:val="0"/>
        <w:spacing w:line="640" w:lineRule="exact"/>
        <w:ind w:firstLine="643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4.绩效结果应用情况。</w:t>
      </w:r>
      <w:r>
        <w:rPr>
          <w:rFonts w:hint="eastAsia" w:ascii="仿宋_GB2312" w:hAnsi="仿宋" w:eastAsia="仿宋_GB2312"/>
          <w:sz w:val="32"/>
          <w:szCs w:val="32"/>
        </w:rPr>
        <w:t>根据2023年度绩效运行监控、绩效自评等情况，当年盘活财政资金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>万元，2024年度增加（减少）部门预算项目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" w:eastAsia="仿宋_GB2312"/>
          <w:sz w:val="32"/>
          <w:szCs w:val="32"/>
        </w:rPr>
        <w:t xml:space="preserve"> 个。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（二）2024年绩效目标编制情况</w:t>
      </w:r>
    </w:p>
    <w:p>
      <w:pPr>
        <w:widowControl/>
        <w:adjustRightInd w:val="0"/>
        <w:snapToGrid w:val="0"/>
        <w:spacing w:line="640" w:lineRule="exact"/>
        <w:ind w:firstLine="640" w:firstLineChars="200"/>
        <w:contextualSpacing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2024年，纳入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单位</w:t>
      </w:r>
      <w:r>
        <w:rPr>
          <w:rFonts w:hint="eastAsia" w:ascii="仿宋_GB2312" w:hAnsi="仿宋" w:eastAsia="仿宋_GB2312"/>
          <w:sz w:val="32"/>
          <w:szCs w:val="32"/>
        </w:rPr>
        <w:t>预算绩效目标管理的项目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个。其中，部门整体支出绩效目标围绕部门管理、履职效果、能力建设三个维度，设置二级指标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13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" w:eastAsia="仿宋_GB2312"/>
          <w:sz w:val="32"/>
          <w:szCs w:val="32"/>
        </w:rPr>
        <w:t>个；项目支出绩效目标围绕成本指标、产出指标、效益指标、满意度指标四个维度，设置二级指标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个、三级指标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56</w:t>
      </w:r>
      <w:r>
        <w:rPr>
          <w:rFonts w:hint="eastAsia" w:ascii="仿宋_GB2312" w:hAnsi="仿宋" w:eastAsia="仿宋_GB2312"/>
          <w:sz w:val="32"/>
          <w:szCs w:val="32"/>
        </w:rPr>
        <w:t>个。各项绩效目标内容指向明确、细化量化、合理可行，符合规定的格式要求。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ascii="楷体_GB2312" w:hAnsi="楷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楷体" w:eastAsia="楷体_GB2312" w:cs="宋体"/>
          <w:b/>
          <w:bCs/>
          <w:kern w:val="0"/>
          <w:sz w:val="32"/>
          <w:szCs w:val="32"/>
        </w:rPr>
        <w:t>十一、名词解释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1、财政拨款: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指由一般公共预算、政府性基金预算、国有资本经营预算安排的财政拨款数。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2、一般公共预算: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包括公共财政拨款（补助）资金、专项收入。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3、财政专户管理资金: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包括专户管理行政事业性收费（主要是教育收费）、其他非税收入。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4、其他资金: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包括事业收入、事业经营收入、其他收入等。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5、基本支出: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包括人员经费、公用经费（定额）。其中，人员经费包括工资福利支出、对个人和家庭的补助。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6、项目支出: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部门（单位）支出预算的组成部分，是各部门（单位）为完成其特定的行政任务或事业发展目标，在基本支出预算之外编制的年度项目支出计划。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7、“三公”经费: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指因公出国（境）费、公务用车购置及运行维护费和公务接待费。其中，因公出国（境）费反映单位公务出国（境）的国际旅费、国外城市间交通费、住宿费、伙食费、培训费、公杂费等支出；公务用车运行维护费反映单位按规定保留的公务用车租用费、燃料费、维修费、过路过桥费、保险费、安全奖励费用等支出；公务接待费反映单位按规定开支的各类公务接待（含外宾接待）支出。</w:t>
      </w:r>
    </w:p>
    <w:p>
      <w:pPr>
        <w:adjustRightInd w:val="0"/>
        <w:snapToGrid w:val="0"/>
        <w:spacing w:line="640" w:lineRule="exact"/>
        <w:ind w:firstLine="643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  <w:r>
        <w:rPr>
          <w:rFonts w:hint="eastAsia" w:ascii="仿宋_GB2312" w:hAnsi="CIDFont+F4" w:eastAsia="仿宋_GB2312"/>
          <w:b/>
          <w:color w:val="000000"/>
          <w:sz w:val="32"/>
          <w:szCs w:val="32"/>
        </w:rPr>
        <w:t>8、机关运行经费:</w:t>
      </w:r>
      <w:r>
        <w:rPr>
          <w:rFonts w:hint="eastAsia" w:ascii="仿宋_GB2312" w:hAnsi="CIDFont+F6" w:eastAsia="仿宋_GB2312"/>
          <w:color w:val="000000"/>
          <w:sz w:val="32"/>
          <w:szCs w:val="32"/>
        </w:rPr>
        <w:t>为保障行政单位（包括实行公务员管理的事业单位）运行用于购买货物和服务的各项资金，包括办公及印刷费、邮电费、差旅费、会议费、福利费、日常维修费、一般设备购置费、办公用房水电费、办公用房取暖费、办公用房物业管理费、公务用车运行维护费以及其他费用。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adjustRightInd w:val="0"/>
        <w:snapToGrid w:val="0"/>
        <w:spacing w:line="640" w:lineRule="exact"/>
        <w:contextualSpacing/>
        <w:jc w:val="right"/>
        <w:rPr>
          <w:rFonts w:hint="eastAsia" w:ascii="仿宋_GB2312" w:hAnsi="CIDFont+F6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高台县农村经营指导站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400" w:right="840" w:rightChars="40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2024</w:t>
      </w:r>
      <w:r>
        <w:rPr>
          <w:rFonts w:hint="eastAsia" w:ascii="仿宋_GB2312" w:eastAsia="仿宋_GB2312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  <w:lang w:eastAsia="zh-CN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adjustRightInd w:val="0"/>
        <w:snapToGrid w:val="0"/>
        <w:spacing w:line="640" w:lineRule="exact"/>
        <w:ind w:firstLine="640" w:firstLineChars="200"/>
        <w:contextualSpacing/>
        <w:rPr>
          <w:rFonts w:ascii="仿宋_GB2312" w:hAnsi="宋体" w:eastAsia="仿宋_GB2312" w:cs="宋体"/>
          <w:spacing w:val="-2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附件：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高台县农村经营指导站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 xml:space="preserve"> 2024年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spacing w:val="-20"/>
          <w:kern w:val="0"/>
          <w:sz w:val="32"/>
          <w:szCs w:val="32"/>
        </w:rPr>
        <w:t>预算公开表</w:t>
      </w:r>
    </w:p>
    <w:p>
      <w:pPr>
        <w:adjustRightInd w:val="0"/>
        <w:snapToGrid w:val="0"/>
        <w:spacing w:line="640" w:lineRule="exact"/>
        <w:ind w:left="1796" w:leftChars="767" w:hanging="185" w:hangingChars="58"/>
        <w:contextualSpacing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高台县农村经营指导站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2024年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整体支出绩效目标及预算项目绩效目标表</w:t>
      </w:r>
    </w:p>
    <w:p>
      <w:pPr>
        <w:adjustRightInd w:val="0"/>
        <w:snapToGrid w:val="0"/>
        <w:spacing w:line="640" w:lineRule="exact"/>
        <w:contextualSpacing/>
        <w:rPr>
          <w:rFonts w:ascii="宋体" w:hAnsi="宋体"/>
          <w:b/>
        </w:rPr>
      </w:pPr>
      <w:r>
        <w:rPr>
          <w:rFonts w:hint="eastAsia" w:ascii="黑体" w:eastAsia="黑体"/>
          <w:sz w:val="30"/>
          <w:szCs w:val="30"/>
        </w:rPr>
        <w:br w:type="page"/>
      </w:r>
      <w:r>
        <w:rPr>
          <w:rFonts w:hint="eastAsia" w:ascii="黑体" w:eastAsia="黑体"/>
          <w:sz w:val="30"/>
          <w:szCs w:val="30"/>
        </w:rPr>
        <w:t>附件1</w:t>
      </w:r>
    </w:p>
    <w:p>
      <w:pPr>
        <w:spacing w:line="36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表一、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61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600"/>
        <w:gridCol w:w="3236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入</w:t>
            </w:r>
          </w:p>
        </w:tc>
        <w:tc>
          <w:tcPr>
            <w:tcW w:w="46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一、一般公共服务支出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二、外交支出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三、国有资本经营预算收入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三、国防支出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四、教育专户核算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四、公共安全支出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五、事业收入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五、教育支出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六、上级补助收入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六、科学技术支出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七、附属单位上缴收入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七、文化旅游体育与传媒支出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八、经营收入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八、社会保障和就业支出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九、其他收入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</w:tcPr>
          <w:p>
            <w:pPr>
              <w:jc w:val="right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九、社会保险基金支出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十、卫生健康支出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十一、节能环保支出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十二、城乡社区支出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十三、农林水支出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4224.16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十四、交通运输支出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十五、资源勘探工业信息等支出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十六、商业服务业等支出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十七、金融支出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十八、援助其他地区支出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十九、自然资源海洋气象等支出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二十、住房保障支出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二十一、粮油物资储备支出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二十二、国有资本经营预算支出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二十三、灾害防治及应急管理支出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二十四、预备费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二十五、其他支出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二十六、转移性支出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二十七、债务还本支出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二十八、债务付息支出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二十九、债务发行费用支出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三十、抗疫特别国债还本支出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本年收入合计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本年支出合计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4262.69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十、上年结转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  <w:lang w:val="en-US" w:eastAsia="zh-CN"/>
              </w:rPr>
              <w:t>83.72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三十一、结转下年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十一、上年结余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368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收入总计</w:t>
            </w:r>
          </w:p>
        </w:tc>
        <w:tc>
          <w:tcPr>
            <w:tcW w:w="1600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CCCCFF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4262.69</w:t>
            </w:r>
          </w:p>
        </w:tc>
        <w:tc>
          <w:tcPr>
            <w:tcW w:w="32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支出总计</w:t>
            </w:r>
          </w:p>
        </w:tc>
        <w:tc>
          <w:tcPr>
            <w:tcW w:w="141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CCCCFF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4262.69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表二、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收入总体情况表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58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2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6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一、一般公共预算财政拨款收入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Arial"/>
                <w:b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经费拨款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二、政府性基金预算财政拨款收入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三、国有资本经营预算收入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四、教育专户核算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五、事业收入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六、上级补助收入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七、附属单位上缴收入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八、经营收入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九、其他收入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本年收入合计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十、上年结转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83.72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十一、上年结余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……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61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 xml:space="preserve">        收入合计</w:t>
            </w:r>
          </w:p>
        </w:tc>
        <w:tc>
          <w:tcPr>
            <w:tcW w:w="2976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4262.69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bCs/>
          <w:color w:val="000000"/>
          <w:sz w:val="18"/>
          <w:szCs w:val="18"/>
        </w:rPr>
      </w:pPr>
      <w:r>
        <w:rPr>
          <w:rFonts w:hint="eastAsia" w:ascii="宋体" w:hAnsi="宋体"/>
          <w:bCs/>
          <w:color w:val="000000"/>
          <w:sz w:val="18"/>
          <w:szCs w:val="18"/>
        </w:rPr>
        <w:t>备注：无内容应公开空表并说明情况。</w:t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2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表三、</w:t>
      </w:r>
      <w:r>
        <w:rPr>
          <w:rFonts w:hint="eastAsia" w:ascii="仿宋_GB2312" w:hAnsi="CIDFont+F6" w:eastAsia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支出总体情况表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27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28"/>
        <w:gridCol w:w="1462"/>
        <w:gridCol w:w="1462"/>
        <w:gridCol w:w="1462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34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支出合计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462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上年结转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4,262.69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149.96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4,029.00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14.97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11.98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10.21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single" w:color="000000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4,224.16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111.43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4,029.00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3,291.57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111.43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3,171.00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137.43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111.43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稳定农民收入补贴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3,145.00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3,145.00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农村合作经济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巩固脱贫攻坚成果衔接乡村振兴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其他巩固脱贫攻坚成果衔接乡村振兴支出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927.63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对村级公益事业建设的补助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927.63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858.00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34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4056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表四、财政拨款收支总体情况表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80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95"/>
        <w:gridCol w:w="1363"/>
        <w:gridCol w:w="3882"/>
        <w:gridCol w:w="13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55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    入</w:t>
            </w:r>
          </w:p>
        </w:tc>
        <w:tc>
          <w:tcPr>
            <w:tcW w:w="524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    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一、本年收入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一、本年支出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（一）一般公共服务支出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（二）政府性基金预算财政拨款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（二）外交支出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（三）国有资本经营预算财政拨款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（三）国防支出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（四）公共安全支出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（五）教育支出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（六）科学技术支出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（七）文化体育与传媒支出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（八）社会保障和就业支出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14.97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（九）社会保险基金支出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（十）卫生健康支出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（十一）节能环保支出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（十二）城乡社区支出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（十三）农林水支出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4140.43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（十四）交通运输支出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（十五）资源勘探工业信息等支出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（十六）商业服务业等支出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（十七）金融支出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（十八）援助其他地区支出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（十九）自然资源海洋气象等支出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（二十）住房保障支出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11.58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（二十一）粮油物资储备支出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（二十二）国有资本经营预算支出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（二十三）灾害防治及应急管理支出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（二十四）预备费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（二十五）其他支出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（二十六）债务还本支出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（二十七）债务付息支出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（二十八）债务发行费用支出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（二十九）抗疫特别国债还本支出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19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收  入  总  计</w:t>
            </w:r>
          </w:p>
        </w:tc>
        <w:tc>
          <w:tcPr>
            <w:tcW w:w="136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38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支  出  总  计</w:t>
            </w:r>
          </w:p>
        </w:tc>
        <w:tc>
          <w:tcPr>
            <w:tcW w:w="136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hint="default" w:ascii="宋体" w:hAnsi="宋体" w:eastAsia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4178.96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 w:cs="Arial"/>
          <w:bCs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bCs/>
          <w:color w:val="000000"/>
          <w:kern w:val="0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784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表五、财政拨款支出表</w:t>
      </w:r>
    </w:p>
    <w:p>
      <w:pPr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44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5"/>
        <w:gridCol w:w="1065"/>
        <w:gridCol w:w="1066"/>
        <w:gridCol w:w="1025"/>
        <w:gridCol w:w="1066"/>
        <w:gridCol w:w="1066"/>
        <w:gridCol w:w="1025"/>
        <w:gridCol w:w="1066"/>
        <w:gridCol w:w="1066"/>
        <w:gridCol w:w="1025"/>
        <w:gridCol w:w="10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0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一般公共预算支出</w:t>
            </w:r>
          </w:p>
        </w:tc>
        <w:tc>
          <w:tcPr>
            <w:tcW w:w="315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政府性基金预算支出</w:t>
            </w:r>
          </w:p>
        </w:tc>
        <w:tc>
          <w:tcPr>
            <w:tcW w:w="311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39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kern w:val="0"/>
                <w:sz w:val="18"/>
                <w:szCs w:val="1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149.96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4029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</w:rPr>
              <w:t>高台县农业农村局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149.96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4029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高台县农村经营指导站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4178.96</w:t>
            </w: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149.96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4029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390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tcMar>
              <w:left w:w="0" w:type="dxa"/>
              <w:right w:w="28" w:type="dxa"/>
            </w:tcMar>
          </w:tcPr>
          <w:p>
            <w:pPr>
              <w:jc w:val="right"/>
              <w:rPr>
                <w:rFonts w:ascii="宋体" w:hAnsi="宋体" w:cs="Arial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3936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表六、一般公共预算支出情况表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55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6"/>
        <w:gridCol w:w="3163"/>
        <w:gridCol w:w="1500"/>
        <w:gridCol w:w="1444"/>
        <w:gridCol w:w="1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5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功能分类科目</w:t>
            </w:r>
          </w:p>
        </w:tc>
        <w:tc>
          <w:tcPr>
            <w:tcW w:w="425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基本支出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tblHeader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4178.96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149.96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社会保障和就业支出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14.97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14.97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行政事业单位养老支出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2080505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14.18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2089999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其他社会保障和就业支出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0.80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卫生健康支出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行政事业单位医疗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11.98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2101102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事业单位医疗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10.21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2101103</w:t>
            </w:r>
          </w:p>
        </w:tc>
        <w:tc>
          <w:tcPr>
            <w:tcW w:w="3163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44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1.77 </w:t>
            </w:r>
          </w:p>
        </w:tc>
        <w:tc>
          <w:tcPr>
            <w:tcW w:w="130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农林水支出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4140.43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111.43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3192.57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111.43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2130104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事业运行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137.43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111.43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2130120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稳定农民收入补贴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3145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2130124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农村合作经济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2130199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其他农业农村支出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21305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巩固脱贫攻坚成果衔接乡村振兴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2130599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其他巩固脱贫攻坚成果衔接乡村振兴支出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21307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农村综合改革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2130701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对村级公益事业建设的补助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住房保障支出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住房改革支出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21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2210201</w:t>
            </w:r>
          </w:p>
        </w:tc>
        <w:tc>
          <w:tcPr>
            <w:tcW w:w="3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11.58 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247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表七、一般公共预算基本支出情况表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9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3069"/>
        <w:gridCol w:w="1660"/>
        <w:gridCol w:w="1255"/>
        <w:gridCol w:w="1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50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经济分类科目</w:t>
            </w:r>
          </w:p>
        </w:tc>
        <w:tc>
          <w:tcPr>
            <w:tcW w:w="40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一般公共预算基本支出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科目编码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科目名称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人员经费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公用经费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tblHeader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**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合计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149.96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138.79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工资福利支出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133.36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133.36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30108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机关事业单位基本养老保险缴费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14.18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30112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其他社会保障缴费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30110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职工基本医疗保险缴费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5.32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公务员医疗补助缴费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1.77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30107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绩效工资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22.85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30102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津贴补贴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15.07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15.07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30101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基本工资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37.72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37.72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30103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奖金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23.64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23.64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30113</w:t>
            </w:r>
          </w:p>
        </w:tc>
        <w:tc>
          <w:tcPr>
            <w:tcW w:w="3069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住房公积金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255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11.58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对个人和家庭的补助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5.42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5.42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30307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医疗费补助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4.45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4.45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30305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生活补助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0.97</w:t>
            </w: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商品和服务支出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30231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30211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30208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取暖费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30240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30226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劳务费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30217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30207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30228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工会经费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30229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福利费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30201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30202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jc w:val="right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0.40</w:t>
            </w: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tabs>
          <w:tab w:val="left" w:pos="1512"/>
        </w:tabs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宋体" w:hAnsi="宋体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表八、一般公共预算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财政拨款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“三公”经费、会议费、培训费支出情况表</w:t>
      </w:r>
    </w:p>
    <w:p>
      <w:pPr>
        <w:jc w:val="righ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>单位：万元</w:t>
      </w:r>
    </w:p>
    <w:tbl>
      <w:tblPr>
        <w:tblStyle w:val="9"/>
        <w:tblW w:w="144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5"/>
        <w:gridCol w:w="1358"/>
        <w:gridCol w:w="1361"/>
        <w:gridCol w:w="1361"/>
        <w:gridCol w:w="1361"/>
        <w:gridCol w:w="1362"/>
        <w:gridCol w:w="1265"/>
        <w:gridCol w:w="1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6803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“三公”经费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会议费</w:t>
            </w:r>
          </w:p>
        </w:tc>
        <w:tc>
          <w:tcPr>
            <w:tcW w:w="1265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培训费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因公出国（境）费用</w:t>
            </w:r>
          </w:p>
        </w:tc>
        <w:tc>
          <w:tcPr>
            <w:tcW w:w="13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公务接待费</w:t>
            </w:r>
          </w:p>
        </w:tc>
        <w:tc>
          <w:tcPr>
            <w:tcW w:w="272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公务用车购置和运行费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公务用车购置费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公务用车运行费</w:t>
            </w: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65" w:type="dxa"/>
            <w:vMerge w:val="continue"/>
            <w:tcBorders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5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6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高台县农业农村局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高台县农村经营指导站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CCCCFF" w:fill="FFFFFF"/>
            <w:noWrap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CCCCFF" w:fill="FFFFFF"/>
          </w:tcPr>
          <w:p>
            <w:pPr>
              <w:jc w:val="right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备注：无内容应公开空表并说明情况。</w:t>
      </w: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rPr>
          <w:rFonts w:ascii="仿宋_GB2312" w:hAnsi="微软雅黑" w:eastAsia="仿宋_GB2312"/>
          <w:sz w:val="18"/>
          <w:szCs w:val="18"/>
        </w:rPr>
      </w:pP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tabs>
          <w:tab w:val="left" w:pos="1812"/>
        </w:tabs>
        <w:rPr>
          <w:rFonts w:ascii="仿宋_GB2312" w:hAnsi="微软雅黑" w:eastAsia="仿宋_GB2312"/>
          <w:sz w:val="18"/>
          <w:szCs w:val="18"/>
        </w:rPr>
        <w:sectPr>
          <w:pgSz w:w="16838" w:h="11906" w:orient="landscape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ascii="仿宋_GB2312" w:hAnsi="微软雅黑" w:eastAsia="仿宋_GB2312"/>
          <w:sz w:val="18"/>
          <w:szCs w:val="18"/>
        </w:rPr>
        <w:tab/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表九、一般公共预算财政拨款机关运行经费表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11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8"/>
        <w:gridCol w:w="3121"/>
        <w:gridCol w:w="1814"/>
        <w:gridCol w:w="1814"/>
        <w:gridCol w:w="18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312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基本支出</w:t>
            </w:r>
          </w:p>
        </w:tc>
        <w:tc>
          <w:tcPr>
            <w:tcW w:w="1814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31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  <w:t>总计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[30201]办公费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[30202]印刷费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[30205]水费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[30206]电费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[30207]邮电费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[30208]取暖费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[30209]物业管理费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[30211]差旅费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[30213]维修（护）费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[30215]会议费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[30218]专用材料费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[30229]福利费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[30231]公务用车运行维护费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[30299]其他商品和服务支出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84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Cs/>
                <w:color w:val="000000"/>
                <w:kern w:val="0"/>
                <w:sz w:val="18"/>
                <w:szCs w:val="18"/>
              </w:rPr>
              <w:t>[31002]办公设备购置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表十、政府性基金预算支出情况表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表十一、部门管理转移支付表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526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82"/>
        <w:gridCol w:w="1361"/>
        <w:gridCol w:w="1361"/>
        <w:gridCol w:w="1361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一般公共预算项目支出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政府性基金预算项目支出</w:t>
            </w:r>
          </w:p>
        </w:tc>
        <w:tc>
          <w:tcPr>
            <w:tcW w:w="1361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国有资本经营预算项目支出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408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FFFFFF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600" w:lineRule="exact"/>
        <w:jc w:val="center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微软雅黑" w:eastAsia="仿宋_GB2312"/>
          <w:sz w:val="18"/>
          <w:szCs w:val="18"/>
        </w:rPr>
        <w:br w:type="page"/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表十二、国有资本经营预算支出情况表</w:t>
      </w:r>
    </w:p>
    <w:p>
      <w:pPr>
        <w:wordWrap w:val="0"/>
        <w:jc w:val="right"/>
        <w:rPr>
          <w:rFonts w:ascii="宋体" w:hAnsi="宋体" w:cs="Arial"/>
          <w:color w:val="000000"/>
          <w:kern w:val="0"/>
          <w:sz w:val="18"/>
          <w:szCs w:val="18"/>
        </w:rPr>
      </w:pPr>
      <w:r>
        <w:rPr>
          <w:rFonts w:hint="eastAsia" w:ascii="宋体" w:hAnsi="宋体" w:cs="Arial"/>
          <w:color w:val="000000"/>
          <w:kern w:val="0"/>
          <w:sz w:val="18"/>
          <w:szCs w:val="18"/>
        </w:rPr>
        <w:t xml:space="preserve">单位：万元 </w:t>
      </w:r>
    </w:p>
    <w:tbl>
      <w:tblPr>
        <w:tblStyle w:val="9"/>
        <w:tblW w:w="9498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5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tblHeader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18"/>
                <w:szCs w:val="18"/>
              </w:rPr>
              <w:t>**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总计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65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ind w:firstLine="360" w:firstLineChars="200"/>
        <w:jc w:val="left"/>
        <w:rPr>
          <w:rFonts w:ascii="仿宋_GB2312" w:hAnsi="微软雅黑" w:eastAsia="仿宋_GB2312"/>
          <w:sz w:val="18"/>
          <w:szCs w:val="18"/>
        </w:rPr>
        <w:sectPr>
          <w:pgSz w:w="11906" w:h="16838"/>
          <w:pgMar w:top="1134" w:right="1134" w:bottom="113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eastAsia" w:ascii="仿宋_GB2312" w:hAnsi="微软雅黑" w:eastAsia="仿宋_GB2312"/>
          <w:sz w:val="18"/>
          <w:szCs w:val="18"/>
        </w:rPr>
        <w:t>备注：无内容应公开空表并说明情况。</w:t>
      </w:r>
    </w:p>
    <w:p>
      <w:pPr>
        <w:spacing w:line="360" w:lineRule="exact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附件2</w:t>
      </w: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  <w:lang w:eastAsia="zh-CN"/>
        </w:rPr>
        <w:t>单位</w:t>
      </w:r>
      <w:r>
        <w:rPr>
          <w:rFonts w:hint="eastAsia" w:ascii="仿宋_GB2312" w:eastAsia="仿宋_GB2312"/>
          <w:b/>
          <w:sz w:val="28"/>
          <w:szCs w:val="28"/>
        </w:rPr>
        <w:t>整体支出绩效目标表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8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1572"/>
        <w:gridCol w:w="820"/>
        <w:gridCol w:w="514"/>
        <w:gridCol w:w="2350"/>
        <w:gridCol w:w="1425"/>
        <w:gridCol w:w="1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301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部门（单位）名称</w:t>
            </w:r>
          </w:p>
        </w:tc>
        <w:tc>
          <w:tcPr>
            <w:tcW w:w="544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高台县农村经营指导站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6" w:hRule="atLeast"/>
          <w:jc w:val="center"/>
        </w:trPr>
        <w:tc>
          <w:tcPr>
            <w:tcW w:w="6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总 体 目 标</w:t>
            </w:r>
          </w:p>
        </w:tc>
        <w:tc>
          <w:tcPr>
            <w:tcW w:w="784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目标1：年内完成各镇村级财务指导与检查工作，规范村级财务管理，加强村级集体财务审计监督，同时加强政策培训，提高农村财务人员政策知晓率和业务管理水平。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目标2：指导农民依法、合理、有序流转农村土地，做好农村土地承包纠纷的调查、调处，维护农民的合法权益。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3：继续做好科学确认农村集体经济组织成员身份，明晰集体所有产权关系，发展新型集体经济；管好用好集体资产，稳步推进村集体经济公司化改革，促进集体资产保值增值。着力构建农村产权交易市场服务体系，持续推进农村产权交易工资正常开展，扩大农村担保抵押物范围，深化农村金融改革创新，稳妥有序开展农村产权抵押贷款业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目标4：结合全县农村财务专项审计工作实际，年内对全县30%的村开展专项审计，综合考虑工作难易程度和所需要投入的人力、物力资源，决定聘请第三方机构开展农村集体“三资”专项审计。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5：坚持“保持政策连续、稳定补贴面积、完善补贴方法、坚持公开透明、分配科学合理”原则，根据上级方案制定下发县级耕地地力保护补贴发放实施方案，精准核定补贴面积，及时足额兑付补贴资金，提高农民保护耕地的积极性，支持粮食生产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目标6：制定农村综合改革转移支付实施方案，选择8个村用于推进农村公益事业建设，选取1个村建设美丽村庄。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  <w:tl2br w:val="nil"/>
              <w:tr2bl w:val="nil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 算 情 况（万元）</w:t>
            </w:r>
          </w:p>
        </w:tc>
        <w:tc>
          <w:tcPr>
            <w:tcW w:w="2906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按支出类型分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按来源类型分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预算金额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基本支出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人员经费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138.79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当年财政拨款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4178.96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公用经费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11.18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上年结转资金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83.72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149.96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其他资金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项目支出</w:t>
            </w:r>
          </w:p>
        </w:tc>
        <w:tc>
          <w:tcPr>
            <w:tcW w:w="23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4112.72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收入预算合计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4262.69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906" w:type="dxa"/>
            <w:gridSpan w:val="3"/>
            <w:vMerge w:val="continue"/>
            <w:tcBorders>
              <w:left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23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支出预算合计</w:t>
            </w:r>
          </w:p>
        </w:tc>
        <w:tc>
          <w:tcPr>
            <w:tcW w:w="11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4262.69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restart"/>
            <w:tcBorders>
              <w:top w:val="single" w:color="000000" w:sz="6" w:space="0"/>
              <w:left w:val="nil"/>
              <w:right w:val="single" w:color="000000" w:sz="6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 效 指 标</w:t>
            </w:r>
          </w:p>
        </w:tc>
        <w:tc>
          <w:tcPr>
            <w:tcW w:w="157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 w:val="18"/>
                <w:szCs w:val="18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部门管理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sz w:val="18"/>
                <w:szCs w:val="18"/>
                <w:lang w:val="en-US" w:eastAsia="zh-CN"/>
              </w:rPr>
              <w:t>资金投入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基本支出预算执行率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=100%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项目支出预算执行率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≤100%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"三公经费“控制率”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≤100%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结转结余变动率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≤0%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财务管理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财务管理制度健全性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资金使用规范性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采购管理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政府采购规范性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资产管理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资产管理规范性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规范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人员管理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在职人员控制率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≤100%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重点工作管理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重点工作管理制度健全性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健全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履职效果</w:t>
            </w:r>
          </w:p>
        </w:tc>
        <w:tc>
          <w:tcPr>
            <w:tcW w:w="1334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部门履职目标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履行农经各项工作职能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耕补及农村综合改革项目实施有效规范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有效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组织产权制度改革、三资管理、土地仲裁等培训班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≥1期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8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持续深化农村改革，规范农村“三资”管理培训和审计监督，加强农村土地承包、流转及经营纠纷调解仲裁工作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持续提升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restart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部门效果目标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土地承包及土地流转规范化管理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成效明显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农村“三资”监管质效及惠农政策宣传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显著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推进村集体公司化改革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成效明显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农村人居环境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明显改善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服务对象满意度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服务对象满意度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≥98%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社会影响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更好发挥单位职能，积极做好各项农经工作，助推“三农“工作持续取得新进展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成效明显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能力建设</w:t>
            </w: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长效管理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中期规划建设完备程度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完备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618" w:type="dxa"/>
            <w:vMerge w:val="continue"/>
            <w:tcBorders>
              <w:left w:val="nil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人力资源建设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人员培训机制完备性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完备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618" w:type="dxa"/>
            <w:vMerge w:val="continue"/>
            <w:tcBorders>
              <w:left w:val="nil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8"/>
                <w:szCs w:val="18"/>
                <w:lang w:val="en-US" w:eastAsia="zh-CN" w:bidi="ar-SA"/>
              </w:rPr>
              <w:t>档案管理</w:t>
            </w:r>
          </w:p>
        </w:tc>
        <w:tc>
          <w:tcPr>
            <w:tcW w:w="23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</w:pPr>
            <w:r>
              <w:rPr>
                <w:rFonts w:hint="default" w:cs="Times New Roman" w:asciiTheme="minorEastAsia" w:hAnsiTheme="minorEastAsia" w:eastAsiaTheme="minorEastAsia"/>
                <w:bCs/>
                <w:color w:val="000000"/>
                <w:kern w:val="2"/>
                <w:sz w:val="16"/>
                <w:szCs w:val="16"/>
                <w:lang w:val="en-US" w:eastAsia="zh-CN" w:bidi="ar-SA"/>
              </w:rPr>
              <w:t>档案管理完备性</w:t>
            </w:r>
          </w:p>
        </w:tc>
        <w:tc>
          <w:tcPr>
            <w:tcW w:w="25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cs="Times New Roman" w:asciiTheme="minorEastAsia" w:hAnsiTheme="minorEastAsia" w:eastAsiaTheme="minorEastAsia"/>
                <w:bCs/>
                <w:color w:val="000000"/>
                <w:sz w:val="16"/>
                <w:szCs w:val="16"/>
                <w:lang w:val="en-US" w:eastAsia="zh-CN"/>
              </w:rPr>
              <w:t>完备</w:t>
            </w:r>
          </w:p>
        </w:tc>
      </w:tr>
    </w:tbl>
    <w:p/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5276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545"/>
        <w:gridCol w:w="106"/>
        <w:gridCol w:w="2774"/>
        <w:gridCol w:w="544"/>
        <w:gridCol w:w="1491"/>
        <w:gridCol w:w="773"/>
        <w:gridCol w:w="251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2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村集体经济组织财务审计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7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57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7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结合全县农村财务专项审计工作实际，年内对全县30%的村开展专项审计，综合考虑工作难易程度和所需要投入的人力、物力资源，决定聘请第三方机构开展农村集体“三资”专项审计。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财务审计经费成本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≤8万元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生态环境成本指标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开展专项审计的村个数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≥40个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审计报告质量合格率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审计工作计划完成率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=100%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审计工作开展及时性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提高了村集体经济组织财务管理规范性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333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审计对象满意度</w:t>
            </w:r>
          </w:p>
        </w:tc>
        <w:tc>
          <w:tcPr>
            <w:tcW w:w="15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4779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99"/>
        <w:gridCol w:w="96"/>
        <w:gridCol w:w="2511"/>
        <w:gridCol w:w="494"/>
        <w:gridCol w:w="1349"/>
        <w:gridCol w:w="700"/>
        <w:gridCol w:w="2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农村“三资”管理及惠农政策培训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年内完成各镇村级财务指导与检查工作，规范村级财务管理，加强村级集体财务审计监督，</w:t>
            </w:r>
            <w:r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同时加强政策培训，提高农村财务人员政策知晓率和业务管理水平。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惠农政策培训经费成本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≤4万元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生态环境成本指标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开展培训班期数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＝1期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培训业务干部人数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＝300人/次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经费到位率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≤4万元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印刷资料达标率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年内各项工作完成及时性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提高农村财务规范管理水平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加强培训提高惠农政策知晓率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培训人员满意度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</w:tbl>
    <w:p>
      <w:pPr>
        <w:widowControl/>
        <w:spacing w:line="360" w:lineRule="exact"/>
        <w:jc w:val="center"/>
        <w:rPr>
          <w:rFonts w:hint="eastAsia" w:cs="宋体" w:asciiTheme="minorEastAsia" w:hAnsiTheme="minorEastAsia" w:eastAsiaTheme="minorEastAsia"/>
          <w:kern w:val="0"/>
          <w:sz w:val="18"/>
          <w:szCs w:val="18"/>
          <w:lang w:val="en-US" w:eastAsia="zh-CN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4779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99"/>
        <w:gridCol w:w="96"/>
        <w:gridCol w:w="2511"/>
        <w:gridCol w:w="494"/>
        <w:gridCol w:w="1349"/>
        <w:gridCol w:w="700"/>
        <w:gridCol w:w="2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农村产权制度改革工作经费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年内继续做好科学确认农村集体经济组织成员身份，明晰集体所有产权关系，发展新型集体经济；管好用好集体资产，稳步推进村集体经济公司化改革，促进集体资产保值增值。着力构建农村产权交易市场服务体系，持续推进农村产权交易工资正常开展，扩大农村担保抵押物范围，深化农村金融改革创新，稳妥有序开展农村产权抵押贷款业务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产改工作经费成本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≤12万元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生态环境成本指标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开展培训班期数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＝1期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印制宣传资料证书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≤3000份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集体经济公司化改革试点建设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＝2个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工作经费及时补助到位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年内各项工作完成的及时性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稳步推进村集体经济公司化改革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促进农民增收致富和现代农业化加快发展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产改对象满意度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4779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99"/>
        <w:gridCol w:w="96"/>
        <w:gridCol w:w="2511"/>
        <w:gridCol w:w="494"/>
        <w:gridCol w:w="1349"/>
        <w:gridCol w:w="700"/>
        <w:gridCol w:w="2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农村土地承包管理、土地流转及土地纠纷调处仲裁工作经费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目标：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年内完成指导农民依法、合理、有序流转农村土地，做好农村土地承包纠纷的调查、调处，维护农民的合法权益。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经济成本指标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土地承包、流转及纠纷调处经费成本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≤2万元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社会成本指标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生态环境成本指标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251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土地纠纷仲裁处理率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仲裁员培训人数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≤40人/次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土地流转及纠纷仲裁工作完成率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≥99%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 xml:space="preserve">仲裁程序合规性 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土地流转及纠纷仲裁处理及时性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全县土地经营权规范有序流转，保障农户稳定收入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维护农民的合法权益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有效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2511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仲裁对象双方满意度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4779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399"/>
        <w:gridCol w:w="96"/>
        <w:gridCol w:w="2511"/>
        <w:gridCol w:w="494"/>
        <w:gridCol w:w="1349"/>
        <w:gridCol w:w="700"/>
        <w:gridCol w:w="227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2024年中央财政耕地建设与利用资金（耕地地力保护补贴）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09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056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3145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6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6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目标1：坚持“保持政策连续、稳定补贴面积、完善补贴方法、坚持公开透明、分配科学合理”原则，根据上级方案制定下发县级耕地地力保护补贴发放实施方案，精准核定补贴面积，及时足额兑付补贴资金，提高农民保护耕地的积极性，支持粮食生产。</w:t>
            </w:r>
          </w:p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目标2：化学肥料减少或持平，有机肥施量增加。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目标3：耕地地力水平持平或提高。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一级指标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二级指标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三级指标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成本指标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耕地地力保护补贴投入成本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≤3145万元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生态环境成本指标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产出指标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数量指标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补贴面积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≥286149.47亩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补贴村数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＝136个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质量指标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补贴资金足额率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＝100%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补贴资金发放覆盖率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合规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时效指标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预算资金到位及时性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效益指标</w:t>
            </w: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补奖资金发放到位及时性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及时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经济效益指标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农民收入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社会效益指标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农民保护耕地积极性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增加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生态效益指标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耕地地力水平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持平或提高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314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满意度指标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服务对象满意度指标</w:t>
            </w:r>
          </w:p>
        </w:tc>
        <w:tc>
          <w:tcPr>
            <w:tcW w:w="978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受益对象满意度</w:t>
            </w:r>
          </w:p>
        </w:tc>
        <w:tc>
          <w:tcPr>
            <w:tcW w:w="1580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≥98%</w:t>
            </w:r>
          </w:p>
        </w:tc>
      </w:tr>
    </w:tbl>
    <w:p>
      <w:pPr>
        <w:spacing w:line="5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项目支出绩效目标表</w:t>
      </w:r>
    </w:p>
    <w:p>
      <w:pPr>
        <w:spacing w:line="560" w:lineRule="exact"/>
        <w:jc w:val="center"/>
        <w:rPr>
          <w:rFonts w:ascii="仿宋_GB2312" w:eastAsia="仿宋_GB2312"/>
          <w:b/>
          <w:sz w:val="24"/>
          <w:szCs w:val="24"/>
        </w:rPr>
      </w:pPr>
      <w:r>
        <w:rPr>
          <w:rFonts w:hint="eastAsia" w:ascii="仿宋_GB2312" w:eastAsia="仿宋_GB2312"/>
          <w:b/>
          <w:sz w:val="24"/>
          <w:szCs w:val="24"/>
        </w:rPr>
        <w:t>（2024年度）</w:t>
      </w:r>
    </w:p>
    <w:tbl>
      <w:tblPr>
        <w:tblStyle w:val="9"/>
        <w:tblW w:w="4596" w:type="pct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9"/>
        <w:gridCol w:w="1345"/>
        <w:gridCol w:w="92"/>
        <w:gridCol w:w="2414"/>
        <w:gridCol w:w="476"/>
        <w:gridCol w:w="1619"/>
        <w:gridCol w:w="351"/>
        <w:gridCol w:w="2193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3943" w:type="pct"/>
            <w:gridSpan w:val="6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024年中央和省级农村综合改革转移支付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主管部门及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代码</w:t>
            </w:r>
          </w:p>
        </w:tc>
        <w:tc>
          <w:tcPr>
            <w:tcW w:w="1645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高台县农业农村局</w:t>
            </w:r>
          </w:p>
        </w:tc>
        <w:tc>
          <w:tcPr>
            <w:tcW w:w="1087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1210" w:type="pc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高台县农村经营指导站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项目资金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645" w:type="pct"/>
            <w:gridSpan w:val="3"/>
            <w:vAlign w:val="center"/>
          </w:tcPr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年度资金总额：</w:t>
            </w:r>
          </w:p>
        </w:tc>
        <w:tc>
          <w:tcPr>
            <w:tcW w:w="229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Align w:val="center"/>
          </w:tcPr>
          <w:p>
            <w:pPr>
              <w:widowControl/>
              <w:spacing w:line="360" w:lineRule="exact"/>
              <w:ind w:firstLine="360" w:firstLineChars="2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其中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：</w:t>
            </w: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当年</w:t>
            </w:r>
            <w:r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  <w:t>财政拨款</w:t>
            </w:r>
          </w:p>
        </w:tc>
        <w:tc>
          <w:tcPr>
            <w:tcW w:w="229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858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229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56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1645" w:type="pct"/>
            <w:gridSpan w:val="3"/>
            <w:vAlign w:val="center"/>
          </w:tcPr>
          <w:p>
            <w:pPr>
              <w:widowControl/>
              <w:spacing w:line="360" w:lineRule="exact"/>
              <w:ind w:firstLine="900" w:firstLineChars="500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2297" w:type="pct"/>
            <w:gridSpan w:val="3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314" w:type="pct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总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体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目</w:t>
            </w:r>
          </w:p>
          <w:p>
            <w:pPr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4685" w:type="pct"/>
            <w:gridSpan w:val="7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目标1:按照要求，制定实施方案，选择8个村用于推进农村公益事业建设。</w:t>
            </w:r>
          </w:p>
          <w:p>
            <w:pPr>
              <w:widowControl/>
              <w:spacing w:line="360" w:lineRule="exact"/>
              <w:jc w:val="left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目标2：选取1个村建设美丽村庄。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bCs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Cs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793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一级指标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二级指标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三级指标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成本指标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经济成本指标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支持村级公益设施建设投入成本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≤758万元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建设美丽村庄</w:t>
            </w:r>
            <w:r>
              <w:rPr>
                <w:rFonts w:hint="eastAsia" w:eastAsia="宋体"/>
                <w:lang w:eastAsia="zh-CN"/>
              </w:rPr>
              <w:t>投入成本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≤100万元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社会成本指标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生态环境成本指标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产出指标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数量指标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支持农村公益设施建设数量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＝8个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推动建设美丽村庄试点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＝1个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质量指标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村内公益设施验收合格率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=</w:t>
            </w:r>
            <w:r>
              <w:rPr>
                <w:rFonts w:hint="eastAsia" w:eastAsia="宋体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时效指标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年度内完成村公益设施建设和美丽村庄建设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基本完成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inorEastAsia" w:hAnsiTheme="minorEastAsia" w:eastAsiaTheme="minorEastAsia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效益指标</w:t>
            </w: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经济效益指标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农民生活水平改善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显著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社会效益指标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改善村乡村治理能力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有所提升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生态效益指标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农村生态环境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有效改善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满意度指标</w:t>
            </w:r>
          </w:p>
        </w:tc>
        <w:tc>
          <w:tcPr>
            <w:tcW w:w="1332" w:type="pct"/>
            <w:vMerge w:val="restart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服务对象满意度指标</w:t>
            </w: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项目区农民满意度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≥98%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314" w:type="pct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cs="宋体" w:asciiTheme="minorEastAsia" w:hAnsiTheme="minorEastAsia" w:eastAsiaTheme="minorEastAsia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793" w:type="pct"/>
            <w:gridSpan w:val="2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332" w:type="pct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</w:p>
        </w:tc>
        <w:tc>
          <w:tcPr>
            <w:tcW w:w="1156" w:type="pct"/>
            <w:gridSpan w:val="2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项目区基层干部满意度</w:t>
            </w:r>
          </w:p>
        </w:tc>
        <w:tc>
          <w:tcPr>
            <w:tcW w:w="1404" w:type="pct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≥98%</w:t>
            </w:r>
          </w:p>
        </w:tc>
      </w:tr>
    </w:tbl>
    <w:p>
      <w:pPr>
        <w:widowControl/>
        <w:spacing w:line="360" w:lineRule="exact"/>
        <w:jc w:val="center"/>
        <w:rPr>
          <w:rFonts w:hint="eastAsia" w:cs="宋体" w:asciiTheme="minorEastAsia" w:hAnsiTheme="minorEastAsia" w:eastAsiaTheme="minorEastAsia"/>
          <w:kern w:val="0"/>
          <w:sz w:val="18"/>
          <w:szCs w:val="18"/>
          <w:lang w:val="en-US" w:eastAsia="zh-CN"/>
        </w:rPr>
      </w:pPr>
    </w:p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NewRomanPS-Bold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6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IDFont+F4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27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wMzhlYzc3YzBiNDE2NGNmOTllYjAyMGNkNTY0M2QifQ=="/>
  </w:docVars>
  <w:rsids>
    <w:rsidRoot w:val="00FB4362"/>
    <w:rsid w:val="00000C55"/>
    <w:rsid w:val="00001446"/>
    <w:rsid w:val="0001130C"/>
    <w:rsid w:val="00011F27"/>
    <w:rsid w:val="00012457"/>
    <w:rsid w:val="00021BBF"/>
    <w:rsid w:val="00030443"/>
    <w:rsid w:val="00030F4C"/>
    <w:rsid w:val="0003278A"/>
    <w:rsid w:val="000368FE"/>
    <w:rsid w:val="00042A06"/>
    <w:rsid w:val="00043601"/>
    <w:rsid w:val="000442B5"/>
    <w:rsid w:val="0004639D"/>
    <w:rsid w:val="000465E2"/>
    <w:rsid w:val="0005161F"/>
    <w:rsid w:val="000547D1"/>
    <w:rsid w:val="00055759"/>
    <w:rsid w:val="000612EE"/>
    <w:rsid w:val="00061BAF"/>
    <w:rsid w:val="0006337D"/>
    <w:rsid w:val="00074626"/>
    <w:rsid w:val="00076B62"/>
    <w:rsid w:val="00082093"/>
    <w:rsid w:val="000861D5"/>
    <w:rsid w:val="0009273A"/>
    <w:rsid w:val="000A20A7"/>
    <w:rsid w:val="000A655B"/>
    <w:rsid w:val="000B54DD"/>
    <w:rsid w:val="000C2055"/>
    <w:rsid w:val="000C2B7F"/>
    <w:rsid w:val="000C37BE"/>
    <w:rsid w:val="000C4C50"/>
    <w:rsid w:val="000D0130"/>
    <w:rsid w:val="000D2EEE"/>
    <w:rsid w:val="000D2F19"/>
    <w:rsid w:val="000E0CEA"/>
    <w:rsid w:val="000F3CBF"/>
    <w:rsid w:val="000F3F42"/>
    <w:rsid w:val="000F473D"/>
    <w:rsid w:val="001017F3"/>
    <w:rsid w:val="0011297B"/>
    <w:rsid w:val="00123768"/>
    <w:rsid w:val="00126B08"/>
    <w:rsid w:val="001272E5"/>
    <w:rsid w:val="00127D01"/>
    <w:rsid w:val="00130F5F"/>
    <w:rsid w:val="001374F5"/>
    <w:rsid w:val="00152FDC"/>
    <w:rsid w:val="001561FD"/>
    <w:rsid w:val="0015647B"/>
    <w:rsid w:val="00156619"/>
    <w:rsid w:val="00156C8B"/>
    <w:rsid w:val="00160A8C"/>
    <w:rsid w:val="001700B4"/>
    <w:rsid w:val="00171070"/>
    <w:rsid w:val="001A416A"/>
    <w:rsid w:val="001A6118"/>
    <w:rsid w:val="001B0364"/>
    <w:rsid w:val="001B0B8E"/>
    <w:rsid w:val="001B342F"/>
    <w:rsid w:val="001C1259"/>
    <w:rsid w:val="001D1DA7"/>
    <w:rsid w:val="001E17E4"/>
    <w:rsid w:val="001E2410"/>
    <w:rsid w:val="001E347C"/>
    <w:rsid w:val="001E6110"/>
    <w:rsid w:val="001F3C4D"/>
    <w:rsid w:val="002033EA"/>
    <w:rsid w:val="00214046"/>
    <w:rsid w:val="0022561F"/>
    <w:rsid w:val="00232DBE"/>
    <w:rsid w:val="002355E7"/>
    <w:rsid w:val="00235F73"/>
    <w:rsid w:val="0023681E"/>
    <w:rsid w:val="00241FEC"/>
    <w:rsid w:val="00243562"/>
    <w:rsid w:val="0025164A"/>
    <w:rsid w:val="00265C3D"/>
    <w:rsid w:val="00266C2E"/>
    <w:rsid w:val="00270DF8"/>
    <w:rsid w:val="002754B3"/>
    <w:rsid w:val="0028392B"/>
    <w:rsid w:val="002934F2"/>
    <w:rsid w:val="002A3A19"/>
    <w:rsid w:val="002A3ED4"/>
    <w:rsid w:val="002A7274"/>
    <w:rsid w:val="002B2833"/>
    <w:rsid w:val="002B7BA1"/>
    <w:rsid w:val="002C01BB"/>
    <w:rsid w:val="002C3FA4"/>
    <w:rsid w:val="002E2161"/>
    <w:rsid w:val="002E30F2"/>
    <w:rsid w:val="002E4E72"/>
    <w:rsid w:val="002F0CE0"/>
    <w:rsid w:val="002F4ED9"/>
    <w:rsid w:val="002F75FE"/>
    <w:rsid w:val="002F7FA5"/>
    <w:rsid w:val="003017F4"/>
    <w:rsid w:val="00301AAB"/>
    <w:rsid w:val="00306B68"/>
    <w:rsid w:val="003129FE"/>
    <w:rsid w:val="003322AC"/>
    <w:rsid w:val="00335342"/>
    <w:rsid w:val="00343A8E"/>
    <w:rsid w:val="00345713"/>
    <w:rsid w:val="003566B9"/>
    <w:rsid w:val="00356C98"/>
    <w:rsid w:val="0036367B"/>
    <w:rsid w:val="0036496C"/>
    <w:rsid w:val="00365414"/>
    <w:rsid w:val="00372734"/>
    <w:rsid w:val="00372A33"/>
    <w:rsid w:val="0037374A"/>
    <w:rsid w:val="00377A88"/>
    <w:rsid w:val="00392E2B"/>
    <w:rsid w:val="003A396F"/>
    <w:rsid w:val="003A68FD"/>
    <w:rsid w:val="003A7A18"/>
    <w:rsid w:val="003B3187"/>
    <w:rsid w:val="003B327A"/>
    <w:rsid w:val="003B4612"/>
    <w:rsid w:val="003B76D2"/>
    <w:rsid w:val="003D6D41"/>
    <w:rsid w:val="003E3B0A"/>
    <w:rsid w:val="0040581D"/>
    <w:rsid w:val="00417BF3"/>
    <w:rsid w:val="00425D21"/>
    <w:rsid w:val="00426463"/>
    <w:rsid w:val="00427875"/>
    <w:rsid w:val="004317A0"/>
    <w:rsid w:val="0043556D"/>
    <w:rsid w:val="0043739B"/>
    <w:rsid w:val="00441579"/>
    <w:rsid w:val="004418B5"/>
    <w:rsid w:val="00445789"/>
    <w:rsid w:val="00463FB8"/>
    <w:rsid w:val="00480A2F"/>
    <w:rsid w:val="00480B47"/>
    <w:rsid w:val="00481F19"/>
    <w:rsid w:val="00487BC0"/>
    <w:rsid w:val="00490FF8"/>
    <w:rsid w:val="004A1851"/>
    <w:rsid w:val="004B337A"/>
    <w:rsid w:val="004B5538"/>
    <w:rsid w:val="004C3127"/>
    <w:rsid w:val="004D27C3"/>
    <w:rsid w:val="004D44D2"/>
    <w:rsid w:val="004D491E"/>
    <w:rsid w:val="004E3E51"/>
    <w:rsid w:val="004E625A"/>
    <w:rsid w:val="004F73BD"/>
    <w:rsid w:val="00502474"/>
    <w:rsid w:val="00515110"/>
    <w:rsid w:val="00523062"/>
    <w:rsid w:val="00532434"/>
    <w:rsid w:val="00537019"/>
    <w:rsid w:val="0054271B"/>
    <w:rsid w:val="00545281"/>
    <w:rsid w:val="00551A39"/>
    <w:rsid w:val="00566585"/>
    <w:rsid w:val="00580A2F"/>
    <w:rsid w:val="005A2CB7"/>
    <w:rsid w:val="005B15C7"/>
    <w:rsid w:val="005B51EA"/>
    <w:rsid w:val="005C6B92"/>
    <w:rsid w:val="005F4CC9"/>
    <w:rsid w:val="0060056E"/>
    <w:rsid w:val="006039C9"/>
    <w:rsid w:val="00605602"/>
    <w:rsid w:val="00605D22"/>
    <w:rsid w:val="00620A03"/>
    <w:rsid w:val="00621126"/>
    <w:rsid w:val="0062145A"/>
    <w:rsid w:val="00633C60"/>
    <w:rsid w:val="00645C9F"/>
    <w:rsid w:val="00650775"/>
    <w:rsid w:val="0065388D"/>
    <w:rsid w:val="00655506"/>
    <w:rsid w:val="00674396"/>
    <w:rsid w:val="006849AD"/>
    <w:rsid w:val="006853A7"/>
    <w:rsid w:val="0069507F"/>
    <w:rsid w:val="006955DD"/>
    <w:rsid w:val="00697A98"/>
    <w:rsid w:val="006A0492"/>
    <w:rsid w:val="006A3DED"/>
    <w:rsid w:val="006A6E23"/>
    <w:rsid w:val="006B05FF"/>
    <w:rsid w:val="006C4D2E"/>
    <w:rsid w:val="006D3D60"/>
    <w:rsid w:val="006E1F9C"/>
    <w:rsid w:val="006E4A2C"/>
    <w:rsid w:val="006E721A"/>
    <w:rsid w:val="006F0E11"/>
    <w:rsid w:val="006F40C8"/>
    <w:rsid w:val="00700872"/>
    <w:rsid w:val="00706BB4"/>
    <w:rsid w:val="00714029"/>
    <w:rsid w:val="007203B6"/>
    <w:rsid w:val="007222C1"/>
    <w:rsid w:val="00725205"/>
    <w:rsid w:val="0074091B"/>
    <w:rsid w:val="00740927"/>
    <w:rsid w:val="00744302"/>
    <w:rsid w:val="00747C60"/>
    <w:rsid w:val="007732EA"/>
    <w:rsid w:val="00777EA3"/>
    <w:rsid w:val="007933F9"/>
    <w:rsid w:val="00793C7B"/>
    <w:rsid w:val="007954B6"/>
    <w:rsid w:val="007A5E22"/>
    <w:rsid w:val="007B3768"/>
    <w:rsid w:val="007B5395"/>
    <w:rsid w:val="007C38FB"/>
    <w:rsid w:val="007C6434"/>
    <w:rsid w:val="007D4E4C"/>
    <w:rsid w:val="007D5F13"/>
    <w:rsid w:val="007D69F8"/>
    <w:rsid w:val="007E4819"/>
    <w:rsid w:val="007E4E03"/>
    <w:rsid w:val="007E7289"/>
    <w:rsid w:val="00805F3F"/>
    <w:rsid w:val="00817A5D"/>
    <w:rsid w:val="00821209"/>
    <w:rsid w:val="00821491"/>
    <w:rsid w:val="00831411"/>
    <w:rsid w:val="00842536"/>
    <w:rsid w:val="00843692"/>
    <w:rsid w:val="0085135B"/>
    <w:rsid w:val="0085287C"/>
    <w:rsid w:val="008559B6"/>
    <w:rsid w:val="008559FD"/>
    <w:rsid w:val="00855E65"/>
    <w:rsid w:val="0085612E"/>
    <w:rsid w:val="00880868"/>
    <w:rsid w:val="00880D30"/>
    <w:rsid w:val="008811AD"/>
    <w:rsid w:val="008812FA"/>
    <w:rsid w:val="008B222B"/>
    <w:rsid w:val="008C138F"/>
    <w:rsid w:val="008C204C"/>
    <w:rsid w:val="008C2625"/>
    <w:rsid w:val="008C4FE2"/>
    <w:rsid w:val="008D4D6A"/>
    <w:rsid w:val="008F7014"/>
    <w:rsid w:val="009049E9"/>
    <w:rsid w:val="00907F9B"/>
    <w:rsid w:val="00911503"/>
    <w:rsid w:val="00917C2D"/>
    <w:rsid w:val="009209B6"/>
    <w:rsid w:val="00923CB4"/>
    <w:rsid w:val="009335E0"/>
    <w:rsid w:val="00941732"/>
    <w:rsid w:val="009510F3"/>
    <w:rsid w:val="00954018"/>
    <w:rsid w:val="00955590"/>
    <w:rsid w:val="00970435"/>
    <w:rsid w:val="009704EC"/>
    <w:rsid w:val="00971619"/>
    <w:rsid w:val="00982EAB"/>
    <w:rsid w:val="0098505E"/>
    <w:rsid w:val="00991480"/>
    <w:rsid w:val="009945A7"/>
    <w:rsid w:val="00995E63"/>
    <w:rsid w:val="0099643D"/>
    <w:rsid w:val="009969DC"/>
    <w:rsid w:val="00996BA5"/>
    <w:rsid w:val="009A0F79"/>
    <w:rsid w:val="009A3C75"/>
    <w:rsid w:val="009B03F2"/>
    <w:rsid w:val="009C4EE2"/>
    <w:rsid w:val="009D46B1"/>
    <w:rsid w:val="009E7F6E"/>
    <w:rsid w:val="009F2B6A"/>
    <w:rsid w:val="009F5541"/>
    <w:rsid w:val="00A01204"/>
    <w:rsid w:val="00A022BA"/>
    <w:rsid w:val="00A256AC"/>
    <w:rsid w:val="00A32BE3"/>
    <w:rsid w:val="00A4207A"/>
    <w:rsid w:val="00A5653E"/>
    <w:rsid w:val="00A63533"/>
    <w:rsid w:val="00A723C4"/>
    <w:rsid w:val="00A72D2B"/>
    <w:rsid w:val="00A820E9"/>
    <w:rsid w:val="00A82942"/>
    <w:rsid w:val="00A83E24"/>
    <w:rsid w:val="00AA20F8"/>
    <w:rsid w:val="00AA327B"/>
    <w:rsid w:val="00AA55AF"/>
    <w:rsid w:val="00AB19A5"/>
    <w:rsid w:val="00AC2FD6"/>
    <w:rsid w:val="00AC78FC"/>
    <w:rsid w:val="00AD4CFE"/>
    <w:rsid w:val="00AE79BA"/>
    <w:rsid w:val="00AF350E"/>
    <w:rsid w:val="00AF3D8F"/>
    <w:rsid w:val="00AF5273"/>
    <w:rsid w:val="00AF5D3D"/>
    <w:rsid w:val="00B0671C"/>
    <w:rsid w:val="00B13495"/>
    <w:rsid w:val="00B262DD"/>
    <w:rsid w:val="00B278DE"/>
    <w:rsid w:val="00B30287"/>
    <w:rsid w:val="00B30EBD"/>
    <w:rsid w:val="00B351C3"/>
    <w:rsid w:val="00B36AC9"/>
    <w:rsid w:val="00B36E7A"/>
    <w:rsid w:val="00B542CD"/>
    <w:rsid w:val="00B6465B"/>
    <w:rsid w:val="00B772D7"/>
    <w:rsid w:val="00B85451"/>
    <w:rsid w:val="00B86006"/>
    <w:rsid w:val="00B86D86"/>
    <w:rsid w:val="00BA2A96"/>
    <w:rsid w:val="00BA5FE5"/>
    <w:rsid w:val="00BC1FD9"/>
    <w:rsid w:val="00BC30FF"/>
    <w:rsid w:val="00BC500D"/>
    <w:rsid w:val="00BD7FD7"/>
    <w:rsid w:val="00BF1606"/>
    <w:rsid w:val="00BF1647"/>
    <w:rsid w:val="00BF5A25"/>
    <w:rsid w:val="00C06428"/>
    <w:rsid w:val="00C11347"/>
    <w:rsid w:val="00C35018"/>
    <w:rsid w:val="00C40A34"/>
    <w:rsid w:val="00C4484E"/>
    <w:rsid w:val="00C46F7C"/>
    <w:rsid w:val="00C519B5"/>
    <w:rsid w:val="00C55EDB"/>
    <w:rsid w:val="00C573E9"/>
    <w:rsid w:val="00C729DA"/>
    <w:rsid w:val="00C764B7"/>
    <w:rsid w:val="00C90B56"/>
    <w:rsid w:val="00CA3F25"/>
    <w:rsid w:val="00CB5B9D"/>
    <w:rsid w:val="00CB6428"/>
    <w:rsid w:val="00CC01A5"/>
    <w:rsid w:val="00CC2134"/>
    <w:rsid w:val="00CD255A"/>
    <w:rsid w:val="00D126EC"/>
    <w:rsid w:val="00D14955"/>
    <w:rsid w:val="00D24CD6"/>
    <w:rsid w:val="00D24FA6"/>
    <w:rsid w:val="00D544D2"/>
    <w:rsid w:val="00D660F8"/>
    <w:rsid w:val="00D744C5"/>
    <w:rsid w:val="00D827AF"/>
    <w:rsid w:val="00D8451F"/>
    <w:rsid w:val="00D8474D"/>
    <w:rsid w:val="00D84D5B"/>
    <w:rsid w:val="00D86771"/>
    <w:rsid w:val="00D90C73"/>
    <w:rsid w:val="00D90F17"/>
    <w:rsid w:val="00D9480E"/>
    <w:rsid w:val="00D94FFD"/>
    <w:rsid w:val="00DA7038"/>
    <w:rsid w:val="00DB4AF2"/>
    <w:rsid w:val="00DB572A"/>
    <w:rsid w:val="00DC14B3"/>
    <w:rsid w:val="00DC399C"/>
    <w:rsid w:val="00DC7D6D"/>
    <w:rsid w:val="00DD2999"/>
    <w:rsid w:val="00DD2B43"/>
    <w:rsid w:val="00DD2CF8"/>
    <w:rsid w:val="00DD5C58"/>
    <w:rsid w:val="00DE240B"/>
    <w:rsid w:val="00DE529C"/>
    <w:rsid w:val="00DE6D9E"/>
    <w:rsid w:val="00DF3482"/>
    <w:rsid w:val="00DF450F"/>
    <w:rsid w:val="00E04A58"/>
    <w:rsid w:val="00E07425"/>
    <w:rsid w:val="00E07A05"/>
    <w:rsid w:val="00E16025"/>
    <w:rsid w:val="00E167FD"/>
    <w:rsid w:val="00E16F50"/>
    <w:rsid w:val="00E24179"/>
    <w:rsid w:val="00E31783"/>
    <w:rsid w:val="00E36636"/>
    <w:rsid w:val="00E43A34"/>
    <w:rsid w:val="00E44D37"/>
    <w:rsid w:val="00E52850"/>
    <w:rsid w:val="00E609A5"/>
    <w:rsid w:val="00E61928"/>
    <w:rsid w:val="00E656D2"/>
    <w:rsid w:val="00E7276C"/>
    <w:rsid w:val="00E84382"/>
    <w:rsid w:val="00E9180B"/>
    <w:rsid w:val="00EA0646"/>
    <w:rsid w:val="00EA2BA4"/>
    <w:rsid w:val="00EA3103"/>
    <w:rsid w:val="00EB15C1"/>
    <w:rsid w:val="00EC325A"/>
    <w:rsid w:val="00EC3A8E"/>
    <w:rsid w:val="00EC57F0"/>
    <w:rsid w:val="00ED68AF"/>
    <w:rsid w:val="00EF2E7C"/>
    <w:rsid w:val="00F01A6E"/>
    <w:rsid w:val="00F11811"/>
    <w:rsid w:val="00F20178"/>
    <w:rsid w:val="00F23C6C"/>
    <w:rsid w:val="00F24BC8"/>
    <w:rsid w:val="00F25045"/>
    <w:rsid w:val="00F30F3E"/>
    <w:rsid w:val="00F32002"/>
    <w:rsid w:val="00F4605D"/>
    <w:rsid w:val="00F51EF5"/>
    <w:rsid w:val="00F74928"/>
    <w:rsid w:val="00F8197E"/>
    <w:rsid w:val="00F833B1"/>
    <w:rsid w:val="00F87D90"/>
    <w:rsid w:val="00F90495"/>
    <w:rsid w:val="00FA4179"/>
    <w:rsid w:val="00FB4362"/>
    <w:rsid w:val="00FB53A1"/>
    <w:rsid w:val="00FD30CF"/>
    <w:rsid w:val="00FE0E46"/>
    <w:rsid w:val="00FF0AEC"/>
    <w:rsid w:val="00FF1DF4"/>
    <w:rsid w:val="00FF4165"/>
    <w:rsid w:val="103777D0"/>
    <w:rsid w:val="113741D2"/>
    <w:rsid w:val="1D34261E"/>
    <w:rsid w:val="251E0948"/>
    <w:rsid w:val="258B4265"/>
    <w:rsid w:val="2A2D5E87"/>
    <w:rsid w:val="527E074E"/>
    <w:rsid w:val="52915C37"/>
    <w:rsid w:val="579503FF"/>
    <w:rsid w:val="60535296"/>
    <w:rsid w:val="72FD2525"/>
    <w:rsid w:val="7C1D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qFormat="1" w:unhideWhenUsed="0" w:uiPriority="0" w:semiHidden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autoRedefine/>
    <w:qFormat/>
    <w:uiPriority w:val="0"/>
    <w:pPr>
      <w:jc w:val="left"/>
    </w:pPr>
  </w:style>
  <w:style w:type="paragraph" w:styleId="4">
    <w:name w:val="Balloon Text"/>
    <w:basedOn w:val="1"/>
    <w:link w:val="16"/>
    <w:autoRedefine/>
    <w:qFormat/>
    <w:uiPriority w:val="0"/>
    <w:rPr>
      <w:sz w:val="18"/>
      <w:szCs w:val="18"/>
    </w:rPr>
  </w:style>
  <w:style w:type="paragraph" w:styleId="5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annotation subject"/>
    <w:basedOn w:val="3"/>
    <w:next w:val="3"/>
    <w:link w:val="20"/>
    <w:autoRedefine/>
    <w:qFormat/>
    <w:uiPriority w:val="0"/>
    <w:rPr>
      <w:b/>
      <w:bCs/>
    </w:rPr>
  </w:style>
  <w:style w:type="character" w:styleId="11">
    <w:name w:val="line number"/>
    <w:autoRedefine/>
    <w:qFormat/>
    <w:uiPriority w:val="0"/>
  </w:style>
  <w:style w:type="character" w:styleId="12">
    <w:name w:val="annotation reference"/>
    <w:autoRedefine/>
    <w:qFormat/>
    <w:uiPriority w:val="0"/>
    <w:rPr>
      <w:sz w:val="21"/>
      <w:szCs w:val="21"/>
    </w:rPr>
  </w:style>
  <w:style w:type="character" w:customStyle="1" w:styleId="13">
    <w:name w:val="页脚 Char"/>
    <w:link w:val="5"/>
    <w:autoRedefine/>
    <w:qFormat/>
    <w:uiPriority w:val="0"/>
    <w:rPr>
      <w:sz w:val="18"/>
      <w:szCs w:val="18"/>
    </w:rPr>
  </w:style>
  <w:style w:type="character" w:customStyle="1" w:styleId="14">
    <w:name w:val="页眉 Char"/>
    <w:link w:val="6"/>
    <w:autoRedefine/>
    <w:qFormat/>
    <w:uiPriority w:val="0"/>
    <w:rPr>
      <w:sz w:val="18"/>
      <w:szCs w:val="18"/>
    </w:rPr>
  </w:style>
  <w:style w:type="paragraph" w:styleId="15">
    <w:name w:val="List Paragraph"/>
    <w:basedOn w:val="1"/>
    <w:autoRedefine/>
    <w:qFormat/>
    <w:uiPriority w:val="0"/>
    <w:pPr>
      <w:ind w:firstLine="420" w:firstLineChars="200"/>
    </w:pPr>
  </w:style>
  <w:style w:type="character" w:customStyle="1" w:styleId="16">
    <w:name w:val="批注框文本 Char"/>
    <w:link w:val="4"/>
    <w:autoRedefine/>
    <w:qFormat/>
    <w:uiPriority w:val="0"/>
    <w:rPr>
      <w:kern w:val="2"/>
      <w:sz w:val="18"/>
      <w:szCs w:val="18"/>
    </w:rPr>
  </w:style>
  <w:style w:type="character" w:customStyle="1" w:styleId="17">
    <w:name w:val="标题 1 Char"/>
    <w:link w:val="2"/>
    <w:autoRedefine/>
    <w:qFormat/>
    <w:uiPriority w:val="0"/>
    <w:rPr>
      <w:rFonts w:ascii="Times New Roman" w:hAnsi="Times New Roman"/>
      <w:b/>
      <w:bCs/>
      <w:kern w:val="44"/>
      <w:sz w:val="44"/>
      <w:szCs w:val="44"/>
    </w:rPr>
  </w:style>
  <w:style w:type="paragraph" w:customStyle="1" w:styleId="18">
    <w:name w:val="TOC Heading"/>
    <w:basedOn w:val="2"/>
    <w:next w:val="1"/>
    <w:autoRedefine/>
    <w:qFormat/>
    <w:uiPriority w:val="0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19">
    <w:name w:val="批注文字 Char"/>
    <w:link w:val="3"/>
    <w:autoRedefine/>
    <w:qFormat/>
    <w:uiPriority w:val="0"/>
    <w:rPr>
      <w:kern w:val="2"/>
      <w:sz w:val="21"/>
      <w:szCs w:val="22"/>
    </w:rPr>
  </w:style>
  <w:style w:type="character" w:customStyle="1" w:styleId="20">
    <w:name w:val="批注主题 Char"/>
    <w:link w:val="8"/>
    <w:autoRedefine/>
    <w:qFormat/>
    <w:uiPriority w:val="0"/>
    <w:rPr>
      <w:b/>
      <w:bCs/>
      <w:kern w:val="2"/>
      <w:sz w:val="21"/>
      <w:szCs w:val="22"/>
    </w:rPr>
  </w:style>
  <w:style w:type="character" w:customStyle="1" w:styleId="21">
    <w:name w:val="fontstyle0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2">
    <w:name w:val="fontstyle2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3">
    <w:name w:val="fontstyle11"/>
    <w:autoRedefine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24">
    <w:name w:val="fontstyle31"/>
    <w:autoRedefine/>
    <w:qFormat/>
    <w:uiPriority w:val="0"/>
    <w:rPr>
      <w:rFonts w:hint="default" w:ascii="TimesNewRomanPSMT" w:hAnsi="TimesNewRomanPSMT"/>
      <w:color w:val="000000"/>
      <w:sz w:val="32"/>
      <w:szCs w:val="32"/>
    </w:rPr>
  </w:style>
  <w:style w:type="character" w:customStyle="1" w:styleId="25">
    <w:name w:val="font21"/>
    <w:basedOn w:val="10"/>
    <w:autoRedefine/>
    <w:qFormat/>
    <w:uiPriority w:val="0"/>
    <w:rPr>
      <w:rFonts w:hint="default" w:ascii="思源黑体" w:hAnsi="思源黑体" w:eastAsia="思源黑体" w:cs="思源黑体"/>
      <w:color w:val="000000"/>
      <w:sz w:val="20"/>
      <w:szCs w:val="20"/>
      <w:u w:val="none"/>
    </w:rPr>
  </w:style>
  <w:style w:type="character" w:customStyle="1" w:styleId="26">
    <w:name w:val="font51"/>
    <w:basedOn w:val="10"/>
    <w:autoRedefine/>
    <w:qFormat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</Company>
  <Pages>30</Pages>
  <Words>1440</Words>
  <Characters>8209</Characters>
  <Lines>68</Lines>
  <Paragraphs>19</Paragraphs>
  <TotalTime>0</TotalTime>
  <ScaleCrop>false</ScaleCrop>
  <LinksUpToDate>false</LinksUpToDate>
  <CharactersWithSpaces>9630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2024-01-30T09:03:00Z</dcterms:created>
  <dc:creator>home</dc:creator>
  <cp:lastModifiedBy>流苏梦</cp:lastModifiedBy>
  <cp:lastPrinted>2022-02-15T07:45:00Z</cp:lastPrinted>
  <dcterms:modified xsi:type="dcterms:W3CDTF">2024-03-20T00:35:29Z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4746AA2B63644A919A7677ADD6665D0C</vt:lpwstr>
  </property>
</Properties>
</file>