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高台县林业和草原局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2024年部门预算公开情况说明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第一部分 部门基本概况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2024年部门预算情况说明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2024年部门预算公开表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一、部门收支总体情况表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二、部门收入总体情况表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三、部门支出总体情况表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十一、部门管理转移支付表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十二、国有资本经营预算支出情况表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十三、部门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0"/>
          <w:szCs w:val="30"/>
        </w:rPr>
        <w:t>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一、部门职责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高台县林业和草原局（以下简称县林草局）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主要职责是：负责全县林业和草原及其生态保护修复的监督管理；组织全县林业和草原生态保护修复和造林绿化工作。组织实施林业和草原重点生态保护</w:t>
      </w:r>
      <w:r>
        <w:rPr>
          <w:rFonts w:hint="eastAsia" w:ascii="仿宋_GB2312" w:hAnsi="仿宋_GB2312" w:eastAsia="仿宋_GB2312" w:cs="仿宋_GB2312"/>
          <w:sz w:val="32"/>
        </w:rPr>
        <w:t>修复工程；负责全县森林、草原资源的监督管理；负责监督管理全县荒漠化防治工作；负责全县陆生野生动植物资源监督管理；负责监督管理全县自然保护区、风景名胜区、自然遗产、地质公园等各类自然保护地；负责推进全县林业和草原改革相关工作；负责全县林业和草原产业发展工作；负责全县林木种子、草种管理工作；负责落实全县综合防灾减灾规划相关要求，组织编制森林和草原火灾防治规划并指导实施；负责全县林业和草原资金和资产管理工作；负责全县林业和草原科技、教育、宣传和外事工作；负责系统内党的建设、党风廉政建设和意识形态工作，承担涉及本部门的安全生产和生态环境保护工作职责；完成县委、县政府和上级业务主管部门交办的其他任务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县林草局</w:t>
      </w:r>
      <w:r>
        <w:rPr>
          <w:rFonts w:hint="eastAsia" w:ascii="仿宋_GB2312" w:eastAsia="仿宋_GB2312" w:cs="仿宋_GB2312"/>
          <w:sz w:val="32"/>
          <w:szCs w:val="32"/>
        </w:rPr>
        <w:t>内设办公室、</w:t>
      </w:r>
      <w:r>
        <w:rPr>
          <w:rFonts w:hint="eastAsia" w:ascii="仿宋_GB2312" w:hAnsi="仿宋_GB2312" w:eastAsia="仿宋_GB2312" w:cs="仿宋_GB2312"/>
          <w:sz w:val="32"/>
        </w:rPr>
        <w:t>规划财务股、资源管理股3</w:t>
      </w:r>
      <w:r>
        <w:rPr>
          <w:rFonts w:hint="eastAsia" w:ascii="仿宋_GB2312" w:eastAsia="仿宋_GB2312" w:cs="仿宋_GB2312"/>
          <w:sz w:val="32"/>
          <w:szCs w:val="32"/>
        </w:rPr>
        <w:t>个内设机构。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（二）参照公务员法管理单位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参照公务员法管理单位1个，即高台县林政稽查大队。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（三）直属事业单位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县林草局下属公益一类事业单位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个，包括高台县林业技术推广站、高台县治沙推广站、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高台县草原监理站、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高台县林业调查规划队、高台县公益林管理办公室、高台县野生动植物保护管理站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国有高台县三桥湾林场、国有高台县三益渠林场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三、部门收支总体情况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4173.59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部门所有收入和支出均纳入部门预算管理。收入包括：一般公共预算拨款收入、政府性基金预算拨款收入、事业收入、事业单位经营收入、其他收入、使用非财政拨款结余、上年结转；支出包括：一般公共服务支出、公共安全支出、教育支出、科学技术支出、社会保障和就业支出、卫生健康支出、交通运输支出、住房保障支出、其他支出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4173.57</w:t>
      </w:r>
      <w:r>
        <w:rPr>
          <w:rFonts w:hint="eastAsia" w:ascii="仿宋_GB2312" w:hAnsi="仿宋" w:eastAsia="仿宋_GB2312"/>
          <w:sz w:val="32"/>
          <w:szCs w:val="32"/>
        </w:rPr>
        <w:t>万元（详见部门预算公开表1,2）。包括：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1257.77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30.14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政府性基金预算收入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上年结转收入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2915.80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69.86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其他收入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</w:trPr>
        <w:tc>
          <w:tcPr>
            <w:tcW w:w="9765" w:type="dxa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6139180" cy="3550920"/>
                  <wp:effectExtent l="0" t="0" r="13970" b="11430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9180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4173.57</w:t>
      </w:r>
      <w:r>
        <w:rPr>
          <w:rFonts w:hint="eastAsia" w:ascii="仿宋_GB2312" w:hAnsi="仿宋" w:eastAsia="仿宋_GB2312"/>
          <w:sz w:val="32"/>
          <w:szCs w:val="32"/>
        </w:rPr>
        <w:t>万元（详见部门预算公开表3）。</w:t>
      </w:r>
      <w:r>
        <w:rPr>
          <w:rStyle w:val="21"/>
          <w:rFonts w:hint="default" w:hAnsi="仿宋"/>
        </w:rPr>
        <w:t>其中：基本支出</w:t>
      </w:r>
      <w:r>
        <w:rPr>
          <w:rStyle w:val="22"/>
          <w:rFonts w:hint="eastAsia" w:ascii="仿宋_GB2312" w:hAnsi="仿宋" w:eastAsia="仿宋_GB2312"/>
          <w:lang w:val="en-US" w:eastAsia="zh-CN"/>
        </w:rPr>
        <w:t>464.31</w:t>
      </w:r>
      <w:r>
        <w:rPr>
          <w:rStyle w:val="21"/>
          <w:rFonts w:hint="default" w:hAnsi="仿宋"/>
        </w:rPr>
        <w:t>万元，占</w:t>
      </w:r>
      <w:r>
        <w:rPr>
          <w:rStyle w:val="21"/>
          <w:rFonts w:hint="eastAsia" w:hAnsi="仿宋" w:eastAsia="仿宋_GB2312"/>
          <w:lang w:val="en-US" w:eastAsia="zh-CN"/>
        </w:rPr>
        <w:t>11.12</w:t>
      </w:r>
      <w:r>
        <w:rPr>
          <w:rStyle w:val="22"/>
          <w:rFonts w:hint="eastAsia" w:ascii="仿宋_GB2312" w:hAnsi="仿宋" w:eastAsia="仿宋_GB2312"/>
        </w:rPr>
        <w:t>%</w:t>
      </w:r>
      <w:r>
        <w:rPr>
          <w:rStyle w:val="21"/>
          <w:rFonts w:hint="default" w:hAnsi="仿宋"/>
        </w:rPr>
        <w:t>；项目支出</w:t>
      </w:r>
      <w:r>
        <w:rPr>
          <w:rStyle w:val="21"/>
          <w:rFonts w:hint="eastAsia" w:hAnsi="仿宋" w:eastAsia="仿宋_GB2312"/>
          <w:lang w:val="en-US" w:eastAsia="zh-CN"/>
        </w:rPr>
        <w:t>793.46</w:t>
      </w:r>
      <w:r>
        <w:rPr>
          <w:rStyle w:val="21"/>
          <w:rFonts w:hint="default" w:hAnsi="仿宋"/>
        </w:rPr>
        <w:t>万元，占</w:t>
      </w:r>
      <w:r>
        <w:rPr>
          <w:rStyle w:val="22"/>
          <w:rFonts w:hint="eastAsia" w:ascii="仿宋_GB2312" w:hAnsi="仿宋" w:eastAsia="仿宋_GB2312"/>
          <w:lang w:val="en-US" w:eastAsia="zh-CN"/>
        </w:rPr>
        <w:t>19.01</w:t>
      </w:r>
      <w:r>
        <w:rPr>
          <w:rStyle w:val="22"/>
          <w:rFonts w:hint="eastAsia" w:ascii="仿宋_GB2312" w:hAnsi="仿宋" w:eastAsia="仿宋_GB2312"/>
        </w:rPr>
        <w:t>%</w:t>
      </w:r>
      <w:r>
        <w:rPr>
          <w:rStyle w:val="22"/>
          <w:rFonts w:hint="eastAsia" w:ascii="仿宋_GB2312" w:hAnsi="仿宋" w:eastAsia="仿宋_GB2312"/>
          <w:lang w:eastAsia="zh-CN"/>
        </w:rPr>
        <w:t>；</w:t>
      </w:r>
      <w:r>
        <w:rPr>
          <w:rStyle w:val="21"/>
          <w:rFonts w:hint="default" w:hAnsi="仿宋"/>
        </w:rPr>
        <w:t>上年结转</w:t>
      </w:r>
      <w:r>
        <w:rPr>
          <w:rStyle w:val="22"/>
          <w:rFonts w:hint="eastAsia" w:ascii="仿宋_GB2312" w:hAnsi="仿宋" w:eastAsia="仿宋_GB2312"/>
          <w:lang w:val="en-US" w:eastAsia="zh-CN"/>
        </w:rPr>
        <w:t>2915.80</w:t>
      </w:r>
      <w:r>
        <w:rPr>
          <w:rStyle w:val="21"/>
          <w:rFonts w:hint="default" w:hAnsi="仿宋"/>
        </w:rPr>
        <w:t>万元</w:t>
      </w:r>
      <w:r>
        <w:rPr>
          <w:rStyle w:val="21"/>
          <w:rFonts w:hint="eastAsia" w:hAnsi="仿宋" w:eastAsia="仿宋_GB2312"/>
          <w:lang w:eastAsia="zh-CN"/>
        </w:rPr>
        <w:t>，</w:t>
      </w:r>
      <w:r>
        <w:rPr>
          <w:rStyle w:val="21"/>
          <w:rFonts w:hint="default" w:hAnsi="仿宋"/>
        </w:rPr>
        <w:t>占</w:t>
      </w:r>
      <w:r>
        <w:rPr>
          <w:rStyle w:val="22"/>
          <w:rFonts w:hint="eastAsia" w:ascii="仿宋_GB2312" w:hAnsi="仿宋" w:eastAsia="仿宋_GB2312"/>
          <w:lang w:val="en-US" w:eastAsia="zh-CN"/>
        </w:rPr>
        <w:t>69.86</w:t>
      </w:r>
      <w:r>
        <w:rPr>
          <w:rStyle w:val="22"/>
          <w:rFonts w:hint="eastAsia" w:ascii="仿宋_GB2312" w:hAnsi="仿宋" w:eastAsia="仿宋_GB2312"/>
        </w:rPr>
        <w:t>%</w:t>
      </w:r>
      <w:r>
        <w:rPr>
          <w:rStyle w:val="21"/>
          <w:rFonts w:hint="default" w:hAnsi="仿宋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Style w:val="22"/>
          <w:rFonts w:hint="eastAsia" w:ascii="仿宋_GB2312" w:hAnsi="仿宋" w:eastAsia="仿宋_GB2312"/>
        </w:rPr>
        <w:t xml:space="preserve">2024 </w:t>
      </w:r>
      <w:r>
        <w:rPr>
          <w:rStyle w:val="21"/>
          <w:rFonts w:hint="default" w:hAnsi="仿宋"/>
        </w:rPr>
        <w:t>年一般公共预算当年支出</w:t>
      </w:r>
      <w:r>
        <w:rPr>
          <w:rStyle w:val="22"/>
          <w:rFonts w:hint="eastAsia" w:ascii="仿宋_GB2312" w:hAnsi="仿宋" w:eastAsia="仿宋_GB2312"/>
          <w:lang w:val="en-US" w:eastAsia="zh-CN"/>
        </w:rPr>
        <w:t>1257.77</w:t>
      </w:r>
      <w:r>
        <w:rPr>
          <w:rStyle w:val="21"/>
          <w:rFonts w:hint="default" w:hAnsi="仿宋"/>
        </w:rPr>
        <w:t>万元，包括：社会保障和就业支出</w:t>
      </w:r>
      <w:r>
        <w:rPr>
          <w:rStyle w:val="22"/>
          <w:rFonts w:hint="eastAsia" w:ascii="仿宋_GB2312" w:hAnsi="仿宋" w:eastAsia="仿宋_GB2312"/>
          <w:lang w:val="en-US" w:eastAsia="zh-CN"/>
        </w:rPr>
        <w:t>45.47</w:t>
      </w:r>
      <w:r>
        <w:rPr>
          <w:rStyle w:val="21"/>
          <w:rFonts w:hint="default" w:hAnsi="仿宋"/>
        </w:rPr>
        <w:t>万元、</w:t>
      </w:r>
      <w:r>
        <w:rPr>
          <w:rStyle w:val="21"/>
          <w:rFonts w:hint="eastAsia" w:hAnsi="仿宋" w:eastAsia="仿宋_GB2312"/>
          <w:lang w:eastAsia="zh-CN"/>
        </w:rPr>
        <w:t>卫生健康支出</w:t>
      </w:r>
      <w:r>
        <w:rPr>
          <w:rStyle w:val="21"/>
          <w:rFonts w:hint="eastAsia" w:hAnsi="仿宋" w:eastAsia="仿宋_GB2312"/>
          <w:lang w:val="en-US" w:eastAsia="zh-CN"/>
        </w:rPr>
        <w:t>30.67万元、节能环保支出25万元、农林水支出1121.27万元、住房保障支出35.36万</w:t>
      </w:r>
      <w:r>
        <w:rPr>
          <w:rStyle w:val="21"/>
          <w:rFonts w:hint="default" w:hAnsi="仿宋"/>
        </w:rPr>
        <w:t>元。</w:t>
      </w:r>
      <w:r>
        <w:rPr>
          <w:rFonts w:hint="eastAsia" w:ascii="仿宋_GB2312" w:hAnsi="仿宋" w:eastAsia="仿宋_GB2312"/>
          <w:sz w:val="32"/>
          <w:szCs w:val="32"/>
        </w:rPr>
        <w:t>具体安排情况如下</w:t>
      </w:r>
      <w:r>
        <w:rPr>
          <w:rFonts w:hint="eastAsia" w:ascii="仿宋_GB2312" w:hAnsi="微软雅黑" w:eastAsia="仿宋_GB2312"/>
          <w:sz w:val="32"/>
          <w:szCs w:val="32"/>
        </w:rPr>
        <w:t>（详见部门预算公开表4,5,6,7）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widowControl/>
        <w:adjustRightInd w:val="0"/>
        <w:snapToGrid w:val="0"/>
        <w:spacing w:line="640" w:lineRule="exact"/>
        <w:ind w:firstLine="3200" w:firstLineChars="10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3200" w:firstLineChars="10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3200" w:firstLineChars="10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3200" w:firstLineChars="10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3200" w:firstLineChars="10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ind w:firstLine="3313" w:firstLineChars="1100"/>
        <w:contextualSpacing/>
        <w:jc w:val="left"/>
        <w:rPr>
          <w:rFonts w:hint="eastAsia" w:ascii="仿宋_GB2312" w:hAnsi="仿宋" w:eastAsia="仿宋_GB2312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drawing>
          <wp:inline distT="0" distB="0" distL="114300" distR="114300">
            <wp:extent cx="6158230" cy="3580765"/>
            <wp:effectExtent l="0" t="0" r="13970" b="6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464.31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比2023年预算增加7.97万元，增长1.75 %，增长的主要原因是公用经费调整增加。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其中：人员经费支出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417.55</w:t>
      </w:r>
      <w:r>
        <w:rPr>
          <w:rFonts w:hint="eastAsia" w:ascii="仿宋_GB2312" w:hAnsi="仿宋" w:eastAsia="仿宋_GB2312"/>
          <w:sz w:val="32"/>
          <w:szCs w:val="32"/>
        </w:rPr>
        <w:t>万元，主要包括：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离休费、退休费、退职（役）费、抚恤金、生活补助、救济费、医疗费补助、助学金、奖励金、个人农业生产补贴、代缴社会保险费 、其他对个人和家庭的补助等。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公用经费支出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46.76</w:t>
      </w:r>
      <w:r>
        <w:rPr>
          <w:rFonts w:hint="eastAsia" w:ascii="仿宋_GB2312" w:hAnsi="仿宋" w:eastAsia="仿宋_GB2312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/>
          <w:sz w:val="32"/>
          <w:szCs w:val="32"/>
        </w:rPr>
        <w:t>2024年一般公共预算财政拨款项目支出预算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793.46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比2023年预算减少629.8 万元，下降44.25 %，主要原因是上级提前下达项目资金减少。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其他项目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个，主要是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农林水支出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468.46万元；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节能环保支出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25万元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（三）支出功能分类说明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TimesNewRomanPS-BoldMT" w:eastAsia="仿宋_GB2312"/>
          <w:bCs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社会保障和就业支出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hAnsi="TimesNewRomanPSMT" w:eastAsia="仿宋_GB2312"/>
          <w:color w:val="000000"/>
          <w:sz w:val="32"/>
          <w:szCs w:val="32"/>
          <w:lang w:val="en-US" w:eastAsia="zh-CN"/>
        </w:rPr>
        <w:t>45.47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万元， 比 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2023 </w:t>
      </w:r>
      <w:r>
        <w:rPr>
          <w:rFonts w:hint="eastAsia" w:ascii="仿宋_GB2312" w:eastAsia="仿宋_GB2312"/>
          <w:color w:val="000000"/>
          <w:sz w:val="32"/>
          <w:szCs w:val="32"/>
        </w:rPr>
        <w:t>年预算增加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4.28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</w:rPr>
        <w:t>，主要原因是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社会保险缴费基数提高，相应费用增加。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卫生健康支出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30.68万元，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比 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2023 </w:t>
      </w:r>
      <w:r>
        <w:rPr>
          <w:rFonts w:hint="eastAsia" w:ascii="仿宋_GB2312" w:eastAsia="仿宋_GB2312"/>
          <w:color w:val="000000"/>
          <w:sz w:val="32"/>
          <w:szCs w:val="32"/>
        </w:rPr>
        <w:t>年预算增加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2.76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</w:rPr>
        <w:t>，主要原因是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基本医疗保险和公务员医疗补助缴费基数提高，相应费用增加。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3.农林水支出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1121.27万元，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比 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2023 </w:t>
      </w:r>
      <w:r>
        <w:rPr>
          <w:rFonts w:hint="eastAsia" w:ascii="仿宋_GB2312" w:eastAsia="仿宋_GB2312"/>
          <w:color w:val="000000"/>
          <w:sz w:val="32"/>
          <w:szCs w:val="32"/>
        </w:rPr>
        <w:t>年预算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583.36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</w:rPr>
        <w:t>，主要原因是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上级提前下达项目资金减少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4.节能环保支出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2024 </w:t>
      </w:r>
      <w:r>
        <w:rPr>
          <w:rFonts w:hint="eastAsia" w:ascii="仿宋_GB2312" w:eastAsia="仿宋_GB2312"/>
          <w:color w:val="000000"/>
          <w:sz w:val="32"/>
          <w:szCs w:val="32"/>
        </w:rPr>
        <w:t>年预算数为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25元，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比 </w:t>
      </w:r>
      <w:r>
        <w:rPr>
          <w:rFonts w:hint="eastAsia" w:ascii="仿宋_GB2312" w:hAnsi="TimesNewRomanPSMT" w:eastAsia="仿宋_GB2312"/>
          <w:color w:val="000000"/>
          <w:sz w:val="32"/>
          <w:szCs w:val="32"/>
        </w:rPr>
        <w:t xml:space="preserve">2023 </w:t>
      </w:r>
      <w:r>
        <w:rPr>
          <w:rFonts w:hint="eastAsia" w:ascii="仿宋_GB2312" w:eastAsia="仿宋_GB2312"/>
          <w:color w:val="000000"/>
          <w:sz w:val="32"/>
          <w:szCs w:val="32"/>
        </w:rPr>
        <w:t>年预算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52.2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</w:rPr>
        <w:t>，主要原因是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上级提前下达的项目资金减少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五、部门（单位）一般公共预算财政拨款“三公”经费、培训费、会议费等情况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“三公”经费预算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万元，较2023年预算增加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2.67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1.因公出国（境）费用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持平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2.公务接待费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万元，较2023年预算增加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2.67</w:t>
      </w:r>
      <w:r>
        <w:rPr>
          <w:rFonts w:hint="eastAsia" w:ascii="仿宋_GB2312" w:hAnsi="仿宋" w:eastAsia="仿宋_GB2312"/>
          <w:sz w:val="32"/>
          <w:szCs w:val="32"/>
        </w:rPr>
        <w:t xml:space="preserve"> 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200</w:t>
      </w:r>
      <w:r>
        <w:rPr>
          <w:rFonts w:hint="eastAsia" w:ascii="仿宋_GB2312" w:hAnsi="仿宋" w:eastAsia="仿宋_GB2312"/>
          <w:sz w:val="32"/>
          <w:szCs w:val="32"/>
        </w:rPr>
        <w:t>%，增长的主要原因是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上级监督检查、项目验收等事项增多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3.公务用车购置及运行维护费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万元（其中：公务用车购置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万元，公务用车运行维护费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万元），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持平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4.培训费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持平。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5.会议费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2023年预算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持平。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tbl>
      <w:tblPr>
        <w:tblStyle w:val="8"/>
        <w:tblW w:w="9135" w:type="dxa"/>
        <w:tblInd w:w="6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</w:trPr>
        <w:tc>
          <w:tcPr>
            <w:tcW w:w="9135" w:type="dxa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微软雅黑" w:eastAsia="仿宋_GB2312"/>
                <w:b/>
                <w:sz w:val="32"/>
                <w:szCs w:val="32"/>
              </w:rPr>
            </w:pPr>
            <w:r>
              <w:rPr>
                <w:rFonts w:hint="default"/>
              </w:rPr>
              <w:drawing>
                <wp:inline distT="0" distB="0" distL="114300" distR="114300">
                  <wp:extent cx="5626735" cy="2987040"/>
                  <wp:effectExtent l="0" t="0" r="12065" b="3810"/>
                  <wp:docPr id="3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735" cy="298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万元，较2023年预算增加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23.49</w:t>
      </w:r>
      <w:r>
        <w:rPr>
          <w:rFonts w:hint="eastAsia" w:ascii="仿宋_GB2312" w:hAnsi="仿宋" w:eastAsia="仿宋_GB2312"/>
          <w:sz w:val="32"/>
          <w:szCs w:val="32"/>
        </w:rPr>
        <w:t xml:space="preserve"> 万元，增长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360.83</w:t>
      </w:r>
      <w:r>
        <w:rPr>
          <w:rFonts w:hint="eastAsia" w:ascii="仿宋_GB2312" w:hAnsi="仿宋" w:eastAsia="仿宋_GB2312"/>
          <w:sz w:val="32"/>
          <w:szCs w:val="32"/>
        </w:rPr>
        <w:t xml:space="preserve"> %，增长的主要原因是</w:t>
      </w:r>
      <w:r>
        <w:rPr>
          <w:rFonts w:hint="eastAsia" w:ascii="仿宋_GB2312" w:eastAsia="仿宋_GB2312"/>
          <w:sz w:val="32"/>
          <w:szCs w:val="32"/>
          <w:lang w:eastAsia="zh-CN"/>
        </w:rPr>
        <w:t>基本公用经费调整增加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2024年，部门政府采购预算总额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1086.01</w:t>
      </w:r>
      <w:r>
        <w:rPr>
          <w:rFonts w:hint="eastAsia" w:ascii="仿宋_GB2312" w:eastAsia="仿宋_GB2312"/>
          <w:sz w:val="32"/>
          <w:szCs w:val="32"/>
          <w:lang w:eastAsia="zh-CN"/>
        </w:rPr>
        <w:t>万元，其中：政府采购货物预算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14.19</w:t>
      </w:r>
      <w:r>
        <w:rPr>
          <w:rFonts w:hint="eastAsia" w:ascii="仿宋_GB2312" w:eastAsia="仿宋_GB2312"/>
          <w:sz w:val="32"/>
          <w:szCs w:val="32"/>
          <w:lang w:eastAsia="zh-CN"/>
        </w:rPr>
        <w:t>万元，政府采购工程预算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609.5</w:t>
      </w:r>
      <w:r>
        <w:rPr>
          <w:rFonts w:hint="eastAsia" w:ascii="仿宋_GB2312" w:eastAsia="仿宋_GB2312"/>
          <w:sz w:val="32"/>
          <w:szCs w:val="32"/>
          <w:lang w:eastAsia="zh-CN"/>
        </w:rPr>
        <w:t>万元，政府采购服务预算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462.32</w:t>
      </w:r>
      <w:r>
        <w:rPr>
          <w:rFonts w:hint="eastAsia" w:ascii="仿宋_GB2312" w:eastAsia="仿宋_GB2312"/>
          <w:sz w:val="32"/>
          <w:szCs w:val="32"/>
          <w:lang w:eastAsia="zh-CN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2024年，部门面向中小企业预留政府采购项目预算金额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325.8</w:t>
      </w:r>
      <w:r>
        <w:rPr>
          <w:rFonts w:hint="eastAsia" w:ascii="仿宋_GB2312" w:hAnsi="仿宋" w:eastAsia="仿宋_GB2312"/>
          <w:sz w:val="32"/>
          <w:szCs w:val="32"/>
        </w:rPr>
        <w:t>万元，小微企业预留政府采购项目预算金额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651.6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上年末固定资产金额为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1901.87</w:t>
      </w:r>
      <w:r>
        <w:rPr>
          <w:rFonts w:hint="eastAsia" w:ascii="仿宋_GB2312" w:eastAsia="仿宋_GB2312"/>
          <w:sz w:val="32"/>
          <w:szCs w:val="32"/>
          <w:lang w:eastAsia="zh-CN"/>
        </w:rPr>
        <w:t>万元。其中：办公用房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5592</w:t>
      </w:r>
      <w:r>
        <w:rPr>
          <w:rFonts w:hint="eastAsia" w:ascii="仿宋_GB2312" w:eastAsia="仿宋_GB2312"/>
          <w:sz w:val="32"/>
          <w:szCs w:val="32"/>
          <w:lang w:eastAsia="zh-CN"/>
        </w:rPr>
        <w:t>平方米，价值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1566.27</w:t>
      </w:r>
      <w:r>
        <w:rPr>
          <w:rFonts w:hint="eastAsia" w:ascii="仿宋_GB2312" w:eastAsia="仿宋_GB2312"/>
          <w:sz w:val="32"/>
          <w:szCs w:val="32"/>
          <w:lang w:eastAsia="zh-CN"/>
        </w:rPr>
        <w:t>万元。预算部门共有公务用车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辆，价值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60.31</w:t>
      </w:r>
      <w:r>
        <w:rPr>
          <w:rFonts w:hint="eastAsia" w:ascii="仿宋_GB2312" w:eastAsia="仿宋_GB2312"/>
          <w:sz w:val="32"/>
          <w:szCs w:val="32"/>
          <w:lang w:eastAsia="zh-CN"/>
        </w:rPr>
        <w:t>万元。单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价20万元以上的设备价值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38.98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万元。202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年拟采购固定资产约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1.13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2024年未安排预算，政府性基金预算支出情况表为空表。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年本部门涉及非税收入，202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年计划征收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1003.29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万元。其中：省级批准设立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个，主要是一般罚没收入、其他利息收入、 其他非经营性国有资产收入，分别计划征收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  <w:lang w:eastAsia="zh-CN"/>
        </w:rPr>
        <w:t>万元、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万元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、950.29万元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项目名称：2024年中央林业草原改革发展资金（新一轮退耕还林延长期补助）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1、项目概况：下达新一轮退耕还林延长期补助面积31782.2亩，下达补助资金317.82万元。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2、立项依据：甘财资环（〔202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〕110号）甘肃省财政厅关于提前下达2024年中央林业草原改革发展资金预算的通知；张林规发〔202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〕11号张掖市林业和草原局关于提前下达2024年中央林业草原改革发展资金任务计划的通知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3、实施主体：高台县林业和草原局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4、实施周期：2024年1-12月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5、实施计划：2024年1-12月期间完成新一轮退耕还林延长期补助资金兑付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6、年度预算安排：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317.82万元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7、预期总体目标：开展新一轮退耕还林延长期补助，补助面积31782.2亩，根据验收情况及时兑付补助资金。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（四）部门管理转移支付情况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" w:eastAsia="仿宋_GB2312"/>
          <w:sz w:val="32"/>
          <w:szCs w:val="32"/>
        </w:rPr>
        <w:t>未安排预算，部门管理转移支付表为空表。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（五）国有资本经营预算支出情况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2024 年未安排预算，国有资本经营预算支出情况表为空表。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2023年度，按照“谁申请资金，谁设置目标”的原则，纳入部门预算管理的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仿宋" w:eastAsia="仿宋_GB2312"/>
          <w:sz w:val="32"/>
          <w:szCs w:val="32"/>
        </w:rPr>
        <w:t>整体支出和项目绩效目标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个，按规定随年度预算一并公开项目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个，公开率为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 xml:space="preserve"> 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</w:rPr>
        <w:t>2023年7月，组织开展1-6月绩效运行监控项目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个，占本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仿宋" w:eastAsia="仿宋_GB2312"/>
          <w:sz w:val="32"/>
          <w:szCs w:val="32"/>
        </w:rPr>
        <w:t>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%。截至7月底，如期完成预算执行和绩效目标指标值的项目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" w:eastAsia="仿宋_GB2312"/>
          <w:sz w:val="32"/>
          <w:szCs w:val="32"/>
        </w:rPr>
        <w:t xml:space="preserve"> %。“双监控”发现存在的问题和主要原因是：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部分工程正在实施，未完成验收结算，支付进度缓慢</w:t>
      </w:r>
      <w:r>
        <w:rPr>
          <w:rFonts w:hint="eastAsia" w:ascii="仿宋_GB2312" w:hAnsi="仿宋" w:eastAsia="仿宋_GB2312"/>
          <w:sz w:val="32"/>
          <w:szCs w:val="32"/>
        </w:rPr>
        <w:t>。开展1-9月绩效运行监控项目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</w:rPr>
        <w:t>个，占本部门（单位）项目的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 xml:space="preserve"> %。截至10月底，如期完成预算执行和绩效目标指标值的项目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76</w:t>
      </w:r>
      <w:r>
        <w:rPr>
          <w:rFonts w:hint="eastAsia" w:ascii="仿宋_GB2312" w:hAnsi="仿宋" w:eastAsia="仿宋_GB2312"/>
          <w:sz w:val="32"/>
          <w:szCs w:val="32"/>
        </w:rPr>
        <w:t xml:space="preserve"> 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>2023年度，组织开展绩效自评项目共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" w:eastAsia="仿宋_GB2312"/>
          <w:sz w:val="32"/>
          <w:szCs w:val="32"/>
        </w:rPr>
        <w:t>个，其中，部门整体支出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个，项目支出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个，转移支付项目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 xml:space="preserve">个，绩效自评覆盖率为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>根据2023年度绩效运行监控、绩效自评等情况，当年盘活财政资金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518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2024年，纳入部门预算绩效目标管理的项目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</w:rPr>
        <w:t>个。其中，部门整体支出绩效目标围绕部门管理、履职效果、能力建设三个维度，设置二级指标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" w:eastAsia="仿宋_GB2312"/>
          <w:sz w:val="32"/>
          <w:szCs w:val="32"/>
        </w:rPr>
        <w:t xml:space="preserve">个；项目支出绩效目标围绕成本指标、产出指标、效益指标、满意度指标四个维度，设置二级指标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/>
          <w:sz w:val="32"/>
          <w:szCs w:val="32"/>
        </w:rPr>
        <w:t>个。各项绩效目标内容指向明确、细化量化、合理可行，符合规定的格式要求。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部门（单位）支出预算的组成部分，是各部门（单位）为完成其特定的行政任务或事业发展目标，在基本支出预算之外编制的年度项目支出计划。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ind w:right="1120" w:firstLine="5440" w:firstLineChars="1700"/>
        <w:contextualSpacing/>
        <w:jc w:val="both"/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高台县林业和草原局</w:t>
      </w:r>
    </w:p>
    <w:p>
      <w:pPr>
        <w:adjustRightInd w:val="0"/>
        <w:snapToGrid w:val="0"/>
        <w:spacing w:line="640" w:lineRule="exact"/>
        <w:ind w:right="1120" w:firstLine="5760" w:firstLineChars="1800"/>
        <w:contextualSpacing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年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月</w:t>
      </w:r>
      <w:r>
        <w:rPr>
          <w:rFonts w:hint="eastAsia" w:ascii="仿宋_GB2312" w:hAnsi="CIDFont+F6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  <w:lang w:eastAsia="zh-CN"/>
        </w:rPr>
        <w:t>高台县林业和草原局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adjustRightInd w:val="0"/>
        <w:snapToGrid w:val="0"/>
        <w:spacing w:line="640" w:lineRule="exact"/>
        <w:ind w:left="1796" w:leftChars="767" w:hanging="185" w:hangingChars="58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高台县林业和草原局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2024年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b/>
          <w:bCs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6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1257.77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45.47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283.98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3778.09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35.36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三十、抗疫特别国债还本支出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1257.77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4173.57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2915.80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4173.57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4173.57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表二、</w:t>
      </w:r>
      <w:r>
        <w:rPr>
          <w:rFonts w:hint="eastAsia" w:ascii="仿宋_GB2312" w:hAnsi="CIDFont+F6" w:eastAsia="仿宋_GB2312"/>
          <w:b/>
          <w:bCs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收入总体情况表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1257.77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三、国有资本经营预算收入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四、教育专户核算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六、上级补助收入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七、附属单位上缴收入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八、经营收入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九、其他收入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1257.77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2915.80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4173.57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备注：无内容应公开空表并说明情况。</w:t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b/>
          <w:bCs/>
          <w:color w:val="00000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7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1531"/>
        <w:gridCol w:w="1531"/>
        <w:gridCol w:w="1531"/>
        <w:gridCol w:w="1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4,173.57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464.31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793.46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2,915.80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b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/>
                <w:sz w:val="18"/>
                <w:szCs w:val="18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行政单位医疗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公务员医疗补助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3,778.09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352.81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768.46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2,656.82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林业和草原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3,775.80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352.81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766.17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2,656.82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816.69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352.81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353.50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森林资源培育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104.42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森林资源管理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4.65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森林生态效益补偿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275.30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动植物保护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防沙治沙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191.06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林业草原防灾减灾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80.59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草原管理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921.26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退耕还林还草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564.31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317.82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其他林业和草原支出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802.51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802.51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普惠金融发展资金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2.29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农业保险保费补贴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2.29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283.98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自然生态保护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137.48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草原生态修复治理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137.48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森林保护修复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146.50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5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森林管护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146.50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121.50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1257.77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45.47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1121.27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35.36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1257.77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1257.77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Cs/>
          <w:color w:val="000000"/>
          <w:kern w:val="0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065"/>
        <w:gridCol w:w="1066"/>
        <w:gridCol w:w="1025"/>
        <w:gridCol w:w="1066"/>
        <w:gridCol w:w="1066"/>
        <w:gridCol w:w="1025"/>
        <w:gridCol w:w="1066"/>
        <w:gridCol w:w="1066"/>
        <w:gridCol w:w="1025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1257.77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1257.77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464.31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793.46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高台县林业和草原局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1257.77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1257.77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464.31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793.46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高台县林业和草原局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1257.77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1257.77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464.31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793.46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59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253"/>
        <w:gridCol w:w="1417"/>
        <w:gridCol w:w="1418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功能分类科目</w:t>
            </w:r>
          </w:p>
        </w:tc>
        <w:tc>
          <w:tcPr>
            <w:tcW w:w="42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1,257.77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464.31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45.47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2080505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2089999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30.67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2101101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行政单位医疗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2101103</w:t>
            </w:r>
          </w:p>
        </w:tc>
        <w:tc>
          <w:tcPr>
            <w:tcW w:w="4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公务员医疗补助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1,121.27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352.81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21302</w:t>
            </w:r>
          </w:p>
        </w:tc>
        <w:tc>
          <w:tcPr>
            <w:tcW w:w="4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林业和草原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1,118.98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352.81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766.17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2130201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行政运行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706.31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352.81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2130205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森林资源培育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0207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森林资源管理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2130209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森林生态效益补偿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2130211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动植物保护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2130217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防沙治沙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2130234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林业草原防灾减灾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2130236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草原管理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2130238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退耕还林还草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317.82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2130299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其他林业和草原支出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21308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普惠金融发展资金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2130803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农业保险保费补贴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2210201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节能环保支出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21104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自然生态保护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2110405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草原生态修复治理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21105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森林保护修复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2110501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森林管护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25.00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lang w:val="en-US" w:eastAsia="zh-CN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94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52"/>
        <w:gridCol w:w="1559"/>
        <w:gridCol w:w="1418"/>
        <w:gridCol w:w="12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经济分类科目</w:t>
            </w:r>
          </w:p>
        </w:tc>
        <w:tc>
          <w:tcPr>
            <w:tcW w:w="42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科目编码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464.31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417.55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406.20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406.20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43.65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25.22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公务员医疗补助缴费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122.72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122.72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132.10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14.53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30113</w:t>
            </w:r>
          </w:p>
        </w:tc>
        <w:tc>
          <w:tcPr>
            <w:tcW w:w="42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35.36</w:t>
            </w:r>
          </w:p>
        </w:tc>
        <w:tc>
          <w:tcPr>
            <w:tcW w:w="0" w:type="auto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其他对个人和家庭的补助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30208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30299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其他商品和服务支出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30239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其他交通费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30205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30206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30231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30213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维修（护）费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30217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30240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1.50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512"/>
        </w:tabs>
        <w:rPr>
          <w:lang w:val="en-US" w:eastAsia="zh-CN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8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高台县林业和草原局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高台县林业和草原局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6.1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6.1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5.6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5.6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[30218]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eastAsia="zh-CN"/>
              </w:rPr>
              <w:t>公务接待费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Arial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30240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]</w:t>
            </w: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eastAsia="zh-CN"/>
              </w:rPr>
              <w:t>其他社会保障缴费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eastAsia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备注：未安排预算，本表为空表。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表十一、部门管理转移支付表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52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1361"/>
        <w:gridCol w:w="1361"/>
        <w:gridCol w:w="1361"/>
        <w:gridCol w:w="1361"/>
      </w:tblGrid>
      <w:tr>
        <w:trPr>
          <w:trHeight w:val="20" w:hRule="atLeast"/>
          <w:tblHeader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</w:pPr>
      <w:r>
        <w:rPr>
          <w:rFonts w:hint="eastAsia" w:ascii="仿宋_GB2312" w:hAnsi="微软雅黑" w:eastAsia="仿宋_GB2312"/>
          <w:sz w:val="18"/>
          <w:szCs w:val="18"/>
        </w:rPr>
        <w:t>备注：未安排预算，本表为空表。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/>
          <w:sz w:val="18"/>
          <w:szCs w:val="18"/>
        </w:rPr>
        <w:br w:type="pag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表十二、国有资本经营预算支出情况表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8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备注：未安排预算，本表为空表。</w:t>
      </w: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部门整体支出绩效目标表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91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975"/>
        <w:gridCol w:w="1630"/>
        <w:gridCol w:w="590"/>
        <w:gridCol w:w="2760"/>
        <w:gridCol w:w="15"/>
        <w:gridCol w:w="154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31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604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eastAsia="zh-CN"/>
              </w:rPr>
              <w:t>高台县林业和草原局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5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总 体 目 标</w:t>
            </w:r>
          </w:p>
        </w:tc>
        <w:tc>
          <w:tcPr>
            <w:tcW w:w="864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目标1：持续开展国土绿化行动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目标2：加快建设国家森林城市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目标3：深入推进林长制工作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目标4：逐步培育壮大林草产业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目标5：不断加快林草科技创新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 xml:space="preserve">目标6：全力保障林草资源安全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5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 算 情 况（万元）</w:t>
            </w:r>
          </w:p>
        </w:tc>
        <w:tc>
          <w:tcPr>
            <w:tcW w:w="31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按支出类型分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按来源类型分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22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人员经费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417.55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当年财政拨款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1257.77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公用经费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46.76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2915.80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464.31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项目支出</w:t>
            </w:r>
          </w:p>
        </w:tc>
        <w:tc>
          <w:tcPr>
            <w:tcW w:w="276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3709.26</w:t>
            </w: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收入预算合计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4173.57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3195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支出预算合计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4173.57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  <w:jc w:val="center"/>
        </w:trPr>
        <w:tc>
          <w:tcPr>
            <w:tcW w:w="505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extDirection w:val="tbLrV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113" w:right="113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 效 指 标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22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部门管理</w:t>
            </w:r>
          </w:p>
        </w:tc>
        <w:tc>
          <w:tcPr>
            <w:tcW w:w="222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资金投入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基本支出预算执行率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项目支出预算执行率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 w:asciiTheme="minorEastAsia" w:hAnsiTheme="minorEastAsia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三公经费控制率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结转结余变动率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财务管理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财务管理制度健全性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健全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资金使用规范性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采购管理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政府采购规范性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资产管理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资产管理规范性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人员管理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在职人员控制率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重点工作管理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  <w:lang w:eastAsia="zh-CN"/>
              </w:rPr>
              <w:t>重点工作管理制度健全性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健全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履职效果</w:t>
            </w:r>
          </w:p>
        </w:tc>
        <w:tc>
          <w:tcPr>
            <w:tcW w:w="222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部门履职目标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林草工程建设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宋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2.842万亩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国家森林城市创建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加快建设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林长制工作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深入推进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林草产业建设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培育壮大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林草科技培训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宋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2.842万亩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林草资源保护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开展林草资源保护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森林草原防火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不断加强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部门效果目标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推动各项工作全面完成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效果显著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增加林农收入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效果显著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森林覆盖率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减少水土流失效果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有一定效果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持续发挥生态作用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显著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林业技术人员专业技术水平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2760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林业新技术、新品种转化应用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效果明显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能力建设</w:t>
            </w:r>
          </w:p>
        </w:tc>
        <w:tc>
          <w:tcPr>
            <w:tcW w:w="22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长效管理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中期规划建设完备程度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  <w:jc w:val="center"/>
        </w:trPr>
        <w:tc>
          <w:tcPr>
            <w:tcW w:w="505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人力资源建设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人员培训机制完备性</w:t>
            </w:r>
          </w:p>
        </w:tc>
        <w:tc>
          <w:tcPr>
            <w:tcW w:w="269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505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27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档案管理完备性</w:t>
            </w:r>
          </w:p>
        </w:tc>
        <w:tc>
          <w:tcPr>
            <w:tcW w:w="2679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思源黑体" w:hAnsi="思源黑体" w:eastAsia="思源黑体" w:cs="思源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完备</w:t>
            </w:r>
          </w:p>
        </w:tc>
      </w:tr>
    </w:tbl>
    <w:tbl>
      <w:tblPr>
        <w:tblStyle w:val="9"/>
        <w:tblpPr w:leftFromText="180" w:rightFromText="180" w:vertAnchor="text" w:tblpX="10880" w:tblpY="-4115"/>
        <w:tblOverlap w:val="never"/>
        <w:tblW w:w="1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2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</w:tbl>
    <w:p>
      <w:pPr>
        <w:bidi w:val="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041"/>
        <w:gridCol w:w="350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南部绿色通道二期工程管理管护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国有高台县三桥湾林场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对南部绿色通道二期工程600亩防护林实施抚育管护，通过该抚育项目的实施，可进一步巩固造林绿化成果，构筑生态防护林网，促进生态建设可持续发展。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生态环境成本指标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管护成本控制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23.5万元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抚育管护面积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600亩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中标抚育管护企业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苗木存活率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招投标程序合规性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养护合格率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管护任务完成及时性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降低管护成本投入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对资源保护作用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逐步向可持续方向发展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区域生态环境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显著改善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林地防风固沙效果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显著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041"/>
        <w:gridCol w:w="350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创建森林城市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专项经费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按照全市创建国家森林城市总体部署，围绕森林城市创建指标，开展创建森林城市，使森林城市创建指标达到或超过验收标准，成功建成森林城市。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经费成本控制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森林城市创建实施方案及规划编制服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编制质量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评审通过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编制审批通过率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上报审批及时性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上报审批及时性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实现绿色发展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有利于改善投资环境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培育保护森林资源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社会公众满意度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1848"/>
        </w:tabs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line="560" w:lineRule="exact"/>
        <w:jc w:val="center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041"/>
        <w:gridCol w:w="350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百鸟园管理经费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进一步加强野生候鸟救助与监测，积极宣传和引导公众养成浓厚的爱鸟护鸟意识，保护全县野生动物资源，维护自然生态平衡。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经济成本指标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饲养、救助管理成本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全年开展救助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配备饲养管理人员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管理饲养数量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260只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救助饲养存活率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救助饲养及时性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管护费用支付及时性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公众爱鸟护鸟意识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明显增强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维护生态平衡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有效维护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社会公众满意度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1848"/>
        </w:tabs>
      </w:pPr>
    </w:p>
    <w:p>
      <w:pPr>
        <w:tabs>
          <w:tab w:val="left" w:pos="1602"/>
        </w:tabs>
        <w:bidi w:val="0"/>
        <w:jc w:val="left"/>
        <w:rPr>
          <w:lang w:val="en-US" w:eastAsia="zh-CN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line="560" w:lineRule="exact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spacing w:line="560" w:lineRule="exact"/>
        <w:ind w:firstLine="3654" w:firstLineChars="130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041"/>
        <w:gridCol w:w="350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红西路军纪念馆出口道路绿化管护经费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红西路军纪念馆出口道路绿化抚育管护，主要管护区域，红西路军纪念馆出口道路（南湾桥至南华十字）段，旧高火路（丰稔渠至南华礼号路口段）行道树及成片防护林，312国道以南至高速公路段6.84公里，高速公路以南至火车站1.4公里，高铁以南320亩毛条及高铁以北120亩成片景观林的抚育管护工作。通过实施抚育管护，能有效增加森林覆盖率，减少大气污染，有效改善生态环境，提升城市形象，维护生态持续稳定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生态环境成本指标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管护成本控制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成片防护林面积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614亩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抚育管护路段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招投标程序合规性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合规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苗木存活率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养护管理考核合格率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管护任务完成及时性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管护抚育费支付及时性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降低管护成本投入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社会生态文明意识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明显增强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道路行车安全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有效保障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区域生态环境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显著改善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林地防风固沙效果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社会公众满意度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1848"/>
        </w:tabs>
      </w:pPr>
    </w:p>
    <w:p>
      <w:pPr>
        <w:spacing w:line="560" w:lineRule="exact"/>
        <w:ind w:firstLine="3360" w:firstLineChars="160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041"/>
        <w:gridCol w:w="350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造林绿化项目抚育管护费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高铁大道及大湖湾景区道路、南部绿色通道高火路至高速服务区、高速公路出入口绿化改造提升林地、高速公路及西干渠南侧林地、黑泉镇胡杨林基地、交通绿廊带2022年生态建设造林地、高速公路出入口匝道南侧造林地、高台县北部防护林七坝滩造林地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林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地抚育管护，通过该项目的实施可有效改善道路沿线生态环境，减少土地沙化，降低沙尘暴发生的频率和强度，促进经济社会可持续发展。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生态环境成本指标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管护成本控制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抚育管护面积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3392亩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中标管护企业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招投标程序合规性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管护质量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考核验收合格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造林保存率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管护任务完成及时性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降低管护成本投入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对资源保护作用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逐步向可持续方向发展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绿化示范引领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区域生态环境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显著改善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林地防风固沙效果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显著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社会公众满意度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1848"/>
        </w:tabs>
      </w:pPr>
    </w:p>
    <w:p>
      <w:pPr>
        <w:tabs>
          <w:tab w:val="left" w:pos="2802"/>
        </w:tabs>
        <w:bidi w:val="0"/>
        <w:jc w:val="left"/>
        <w:rPr>
          <w:lang w:val="en-US" w:eastAsia="zh-CN"/>
        </w:rPr>
      </w:pPr>
    </w:p>
    <w:p>
      <w:pPr>
        <w:tabs>
          <w:tab w:val="left" w:pos="4182"/>
        </w:tabs>
        <w:bidi w:val="0"/>
        <w:jc w:val="left"/>
        <w:rPr>
          <w:lang w:val="en-US" w:eastAsia="zh-CN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line="560" w:lineRule="exact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spacing w:line="560" w:lineRule="exact"/>
        <w:jc w:val="center"/>
        <w:rPr>
          <w:rFonts w:hint="eastAsia"/>
          <w:lang w:val="en-US" w:eastAsia="zh-CN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lang w:val="en-US" w:eastAsia="zh-CN"/>
        </w:rPr>
        <w:tab/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041"/>
        <w:gridCol w:w="350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全县林长制宣传牌制作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171A1D"/>
                <w:spacing w:val="0"/>
                <w:kern w:val="0"/>
                <w:sz w:val="18"/>
                <w:szCs w:val="18"/>
                <w:shd w:val="clear" w:color="auto" w:fill="FFFFFF"/>
              </w:rPr>
              <w:t>加强林长制建设，压实三级林长管护责任，使林草资源得到有效管护，林草资源总量和生态效益显著提升，生态产品供给结构进一步优化、供给能力逐步提高，生态安全屏障建设取得明显成效，人居环境更加优化美化，人民群众的生态保护意识和生态获得感明显增强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社会成本指标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林长制公示牌制作安装成本控制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林长制公示牌数量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224块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林草资源保护管理涉及乡镇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9个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公示牌制作安装合格率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林长制工作任务完成及时性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加强林长制知识宣传、促进全民意识提高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有效开展森林资源防治和治理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维护全县林木资源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有效维护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社会公众满意度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tbl>
      <w:tblPr>
        <w:tblStyle w:val="9"/>
        <w:tblpPr w:leftFromText="180" w:rightFromText="180" w:vertAnchor="text" w:tblpX="10880" w:tblpY="-2929"/>
        <w:tblOverlap w:val="never"/>
        <w:tblW w:w="114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tabs>
                <w:tab w:val="left" w:pos="1848"/>
              </w:tabs>
              <w:spacing w:before="0" w:beforeAutospacing="0" w:after="0" w:afterAutospacing="0"/>
              <w:ind w:left="0" w:right="0"/>
              <w:rPr>
                <w:rFonts w:hint="default"/>
                <w:vertAlign w:val="baseline"/>
              </w:rPr>
            </w:pPr>
          </w:p>
        </w:tc>
      </w:tr>
    </w:tbl>
    <w:p>
      <w:pPr>
        <w:tabs>
          <w:tab w:val="left" w:pos="1848"/>
        </w:tabs>
      </w:pPr>
    </w:p>
    <w:p>
      <w:pPr>
        <w:tabs>
          <w:tab w:val="left" w:pos="3312"/>
        </w:tabs>
        <w:bidi w:val="0"/>
        <w:jc w:val="left"/>
        <w:rPr>
          <w:lang w:val="en-US" w:eastAsia="zh-CN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line="560" w:lineRule="exact"/>
        <w:ind w:firstLine="3654" w:firstLineChars="130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041"/>
        <w:gridCol w:w="350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森林保险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高台县重点公益林管理办公室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2.29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2024年政策性森林保险全县实现15.28万亩公益林应保全保。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生态环境成本指标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森林保险投入成本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2.29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公益林参保面积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15.28万亩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保险费率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0.2%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受灾损失赔付率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森林参保覆盖率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≥100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经费支出合规性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理赔结案及时性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保险金支付及时性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提高林业产值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为投保户分散风险降低损失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生态环境改善情况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森林保险承保单位及个人满意度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tbl>
      <w:tblPr>
        <w:tblStyle w:val="9"/>
        <w:tblpPr w:leftFromText="180" w:rightFromText="180" w:vertAnchor="text" w:tblpX="10880" w:tblpY="-3182"/>
        <w:tblOverlap w:val="never"/>
        <w:tblW w:w="7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tabs>
                <w:tab w:val="left" w:pos="3537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3537"/>
        </w:tabs>
        <w:bidi w:val="0"/>
        <w:jc w:val="left"/>
        <w:rPr>
          <w:lang w:val="en-US" w:eastAsia="zh-CN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line="560" w:lineRule="exact"/>
        <w:ind w:firstLine="2520" w:firstLineChars="1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spacing w:line="560" w:lineRule="exact"/>
        <w:ind w:firstLine="2520" w:firstLineChars="1200"/>
        <w:jc w:val="both"/>
        <w:rPr>
          <w:rFonts w:hint="eastAsia"/>
          <w:lang w:val="en-US" w:eastAsia="zh-CN"/>
        </w:rPr>
      </w:pPr>
    </w:p>
    <w:p>
      <w:pPr>
        <w:spacing w:line="560" w:lineRule="exact"/>
        <w:ind w:firstLine="3373" w:firstLineChars="120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041"/>
        <w:gridCol w:w="350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中央林业草原生态保护恢复资金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高台县重点公益林管理办公室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支持森林资源从恢复性增长进一步向提高质量转变，林区经济社会发展由稳步复苏向进一步和谐发展转变，确保林区社会和谐稳定，确保资金使用规范。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生态环境成本指标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国有林保护修复成本（公益林）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国有林管护面积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2.47万亩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国有林管护补助兑现率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国有林管护任务完成率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国有林保护和管理能力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明显提升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生态系统和生物多样性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得到有效保护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森林、湿地、荒漠。草原生态系统生态效益发挥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林区（林场）职工、国有林管护和周边群众满意度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3537"/>
        </w:tabs>
        <w:bidi w:val="0"/>
        <w:jc w:val="left"/>
        <w:rPr>
          <w:lang w:val="en-US" w:eastAsia="zh-CN"/>
        </w:rPr>
      </w:pPr>
    </w:p>
    <w:p>
      <w:pPr>
        <w:tabs>
          <w:tab w:val="left" w:pos="3387"/>
        </w:tabs>
        <w:bidi w:val="0"/>
        <w:jc w:val="left"/>
        <w:rPr>
          <w:lang w:val="en-US" w:eastAsia="zh-CN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line="560" w:lineRule="exact"/>
        <w:ind w:firstLine="2520" w:firstLineChars="1200"/>
        <w:jc w:val="both"/>
        <w:rPr>
          <w:rFonts w:hint="eastAsia"/>
          <w:lang w:val="en-US" w:eastAsia="zh-CN"/>
        </w:rPr>
      </w:pPr>
    </w:p>
    <w:p>
      <w:pPr>
        <w:spacing w:line="560" w:lineRule="exact"/>
        <w:ind w:firstLine="2520" w:firstLineChars="1200"/>
        <w:jc w:val="both"/>
        <w:rPr>
          <w:rFonts w:hint="eastAsia"/>
          <w:lang w:val="en-US" w:eastAsia="zh-CN"/>
        </w:rPr>
      </w:pPr>
    </w:p>
    <w:p>
      <w:pPr>
        <w:spacing w:line="560" w:lineRule="exact"/>
        <w:ind w:firstLine="2520" w:firstLineChars="120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041"/>
        <w:gridCol w:w="350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2024年中央林业草原改革发展资金（新一轮退耕还林延长期补助）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高台县重点公益林管理办公室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317.82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317.82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开展新一轮退耕还林延长期补助，补助面积31782.2亩，根据验收情况及时兑付补助资金。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社会成本指标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新一轮退耕还林延长期补助标准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100元/亩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新一轮退耕还林延长期补助面积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31782.2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造林质量达标情况（退耕还林合格率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新一轮退耕还林延长期补助兑现完成及时性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增加退耕户收入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增加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森林生态效益发挥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项目涉及退耕户满意度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4107"/>
        </w:tabs>
        <w:bidi w:val="0"/>
        <w:jc w:val="left"/>
        <w:rPr>
          <w:lang w:val="en-US" w:eastAsia="zh-CN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line="560" w:lineRule="exact"/>
        <w:ind w:firstLine="2520" w:firstLineChars="1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spacing w:line="560" w:lineRule="exact"/>
        <w:ind w:firstLine="2520" w:firstLineChars="1200"/>
        <w:jc w:val="both"/>
        <w:rPr>
          <w:rFonts w:hint="eastAsia"/>
          <w:lang w:val="en-US" w:eastAsia="zh-CN"/>
        </w:rPr>
      </w:pPr>
    </w:p>
    <w:p>
      <w:pPr>
        <w:spacing w:line="560" w:lineRule="exact"/>
        <w:ind w:firstLine="3150" w:firstLineChars="150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041"/>
        <w:gridCol w:w="350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2024年中央林业草原改革发展资金（草原有害生物防治项目）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高台县草原监理站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开展草原有害生物防治，完成鼠害防治10万亩、虫害防治5万亩，资金使用规范。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生态环境成本指标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草原有害生物防治成本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45万元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草原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有害生物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防治面积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万亩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草原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有害生物防治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质量达标情况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草原鼠虫害防治任务完成及时率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提升天然草原生产力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显著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草原有害生物防治成效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显著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项目区群众满意度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4107"/>
        </w:tabs>
        <w:bidi w:val="0"/>
        <w:jc w:val="left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line="560" w:lineRule="exact"/>
        <w:ind w:firstLine="3654" w:firstLineChars="1300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ind w:firstLine="3654" w:firstLineChars="1300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ind w:firstLine="3654" w:firstLineChars="1300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ind w:firstLine="3654" w:firstLineChars="130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041"/>
        <w:gridCol w:w="350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2024年中央林业草原改革发展资金（林业有害生物防治补助）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高台县林业技术推广站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2024年根据下达计划任务完成0.3万亩林业有害生物防治任务。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社会成本指标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防治成本控制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林业有害生物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防治面积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万亩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林业有害生物防治合格率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林业有害生物防治及时性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林业有害生物防治成本费用控制率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提高防治水平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林业有害生物无公害防治率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群众综合满意度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4107"/>
        </w:tabs>
        <w:bidi w:val="0"/>
        <w:jc w:val="left"/>
        <w:rPr>
          <w:lang w:val="en-US" w:eastAsia="zh-CN"/>
        </w:rPr>
      </w:pPr>
    </w:p>
    <w:p>
      <w:pPr>
        <w:tabs>
          <w:tab w:val="left" w:pos="4302"/>
        </w:tabs>
        <w:bidi w:val="0"/>
        <w:jc w:val="left"/>
        <w:rPr>
          <w:lang w:val="en-US" w:eastAsia="zh-CN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spacing w:line="560" w:lineRule="exact"/>
        <w:ind w:firstLine="3654" w:firstLineChars="130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041"/>
        <w:gridCol w:w="350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2024年中央林业草原改革发展资金（林业有害生物防治补助）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4.65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4.65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开展全国性森林、草原、湿地、荒漠综合监测工作，监测结果符合规范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社会成本指标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全国性森林、草原、湿地、荒漠监测成本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4.65万元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森林杨迪综合监测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草原样地综合监测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湿地杨地综合检测</w:t>
            </w:r>
          </w:p>
        </w:tc>
        <w:tc>
          <w:tcPr>
            <w:tcW w:w="329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样地调查数据和统计结果数据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符合规范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监测计划进度完成率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为国家决策提供依据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满足森林、草原、湿地、荒漠资源保护管理需求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效果明显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林业部门满意度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4107"/>
        </w:tabs>
        <w:bidi w:val="0"/>
        <w:jc w:val="left"/>
        <w:rPr>
          <w:lang w:val="en-US" w:eastAsia="zh-CN"/>
        </w:rPr>
      </w:pPr>
    </w:p>
    <w:p>
      <w:pPr>
        <w:tabs>
          <w:tab w:val="left" w:pos="4302"/>
        </w:tabs>
        <w:bidi w:val="0"/>
        <w:jc w:val="left"/>
        <w:rPr>
          <w:lang w:val="en-US" w:eastAsia="zh-CN"/>
        </w:rPr>
      </w:pPr>
    </w:p>
    <w:p>
      <w:pPr>
        <w:spacing w:line="560" w:lineRule="exact"/>
        <w:ind w:firstLine="3654" w:firstLineChars="1300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ind w:firstLine="3654" w:firstLineChars="1300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ind w:firstLine="3654" w:firstLineChars="1300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ind w:firstLine="3654" w:firstLineChars="1300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ind w:firstLine="3654" w:firstLineChars="1300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ind w:firstLine="3654" w:firstLineChars="130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041"/>
        <w:gridCol w:w="350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2024年中央林业改革发展资金--上一轮政策到期退耕还生态林补助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高台县重点公益林管理办公室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对上一轮政策到期还生态林给予一定的森林抚育补助，维护森林生态系统稳定，持续发挥生态效益。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生态环境成本指标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上一轮政策到期的还生态林抚育补助标准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20元/亩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上一轮政策到期的还生态林抚育面积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生态林抚育质量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补助资金兑付及时性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增加群众收入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有效增加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森林生态效益发挥求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明显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项目涉及退耕户满意度</w:t>
            </w: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97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57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tabs>
          <w:tab w:val="left" w:pos="4107"/>
        </w:tabs>
        <w:bidi w:val="0"/>
        <w:jc w:val="left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line="560" w:lineRule="exact"/>
        <w:ind w:firstLine="3654" w:firstLineChars="1300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ind w:firstLine="3654" w:firstLineChars="130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286"/>
        <w:gridCol w:w="105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2024年省级林业草原资源保护与发展（林业有害生物防治补助项目）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高台县林业技术推广站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购置生物仿生制剂药剂，开展重点区域林业有害生物防治；开展光肩星天牛、梨火疫病等防治；国测点开展监测预报服务。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生态环境成本指标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防治成本控制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林业有害生物防治面积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0.1万亩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林业有害生物防治合格率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林业有害生物防治及时性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提高防治水平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林业有害生物无公害防治率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社区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群众综合满意度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bidi w:val="0"/>
        <w:jc w:val="center"/>
        <w:rPr>
          <w:lang w:val="en-US" w:eastAsia="zh-CN"/>
        </w:rPr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spacing w:line="560" w:lineRule="exact"/>
        <w:ind w:firstLine="3654" w:firstLineChars="1300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ind w:firstLine="3654" w:firstLineChars="1300"/>
        <w:jc w:val="both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ind w:firstLine="3654" w:firstLineChars="1300"/>
        <w:jc w:val="both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8"/>
        <w:tblW w:w="5291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548"/>
        <w:gridCol w:w="108"/>
        <w:gridCol w:w="2782"/>
        <w:gridCol w:w="2286"/>
        <w:gridCol w:w="105"/>
        <w:gridCol w:w="29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2024年省级林业草原资源保护与发展（防沙治沙补助资金）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高台县林业和草原局</w:t>
            </w:r>
          </w:p>
        </w:tc>
        <w:tc>
          <w:tcPr>
            <w:tcW w:w="1146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41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高台县治沙推广站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360" w:firstLineChars="2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85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 w:firstLine="900" w:firstLineChars="500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556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4" w:type="pct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通过在1000亩造林地人畜活动边界上设置围栏3公里。防止牲畜侵入和人为破坏造林地，定期进行设施维护，保证造林工程设施长期有效，稳定发挥作用。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1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4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社会成本指标</w:t>
            </w:r>
          </w:p>
        </w:tc>
        <w:tc>
          <w:tcPr>
            <w:tcW w:w="22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设备购置成本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≤市场均价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3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数量指标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新建围栏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3000米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围栏封育面积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1000亩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设备验收合格率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工程完工验收及时性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防沙治沙对生态环境改善情况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 w:bidi="ar-SA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符合环境保护要求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社区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群众综合满意度</w:t>
            </w: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宋体" w:cs="宋体" w:asciiTheme="minorEastAsia" w:hAnsi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5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09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460" w:type="pct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</w:tbl>
    <w:p>
      <w:pPr>
        <w:bidi w:val="0"/>
        <w:jc w:val="center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hZTA2NDc4ZmQ3YTFkY2NkODllM2Y3MDA3NTYxMGEifQ=="/>
    <w:docVar w:name="KSO_WPS_MARK_KEY" w:val="10607949-6f0e-49da-a8a6-e0c8beb6a377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1469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18AC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B6D1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85B23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0176525E"/>
    <w:rsid w:val="01DB544E"/>
    <w:rsid w:val="01FA6755"/>
    <w:rsid w:val="02094819"/>
    <w:rsid w:val="02362630"/>
    <w:rsid w:val="02CD2B48"/>
    <w:rsid w:val="03232207"/>
    <w:rsid w:val="03CD3EE2"/>
    <w:rsid w:val="04C11604"/>
    <w:rsid w:val="05EF58E5"/>
    <w:rsid w:val="06A521F7"/>
    <w:rsid w:val="07393C46"/>
    <w:rsid w:val="073D60C1"/>
    <w:rsid w:val="088A61B1"/>
    <w:rsid w:val="08AE2D90"/>
    <w:rsid w:val="08B440B7"/>
    <w:rsid w:val="08EF124F"/>
    <w:rsid w:val="08F85810"/>
    <w:rsid w:val="096A04BC"/>
    <w:rsid w:val="0A116AC6"/>
    <w:rsid w:val="0A173A74"/>
    <w:rsid w:val="0A310FDA"/>
    <w:rsid w:val="0B1064F6"/>
    <w:rsid w:val="0B236202"/>
    <w:rsid w:val="0B534F80"/>
    <w:rsid w:val="0C1C35C4"/>
    <w:rsid w:val="0CAB65E0"/>
    <w:rsid w:val="0D0B0AAA"/>
    <w:rsid w:val="0E1A3B33"/>
    <w:rsid w:val="0E502804"/>
    <w:rsid w:val="0E9A6E8A"/>
    <w:rsid w:val="0E9D6C3E"/>
    <w:rsid w:val="0F5372FC"/>
    <w:rsid w:val="0F8643D6"/>
    <w:rsid w:val="0FBA287C"/>
    <w:rsid w:val="0FCB3337"/>
    <w:rsid w:val="0FED1F35"/>
    <w:rsid w:val="0FFF7C8C"/>
    <w:rsid w:val="10207B26"/>
    <w:rsid w:val="103E7FAD"/>
    <w:rsid w:val="11273833"/>
    <w:rsid w:val="11353101"/>
    <w:rsid w:val="113741D2"/>
    <w:rsid w:val="11625F1D"/>
    <w:rsid w:val="11BB2435"/>
    <w:rsid w:val="11D92218"/>
    <w:rsid w:val="11DF3773"/>
    <w:rsid w:val="11ED1C8A"/>
    <w:rsid w:val="122C43A6"/>
    <w:rsid w:val="123C051C"/>
    <w:rsid w:val="12752BD6"/>
    <w:rsid w:val="12F5624E"/>
    <w:rsid w:val="133105C7"/>
    <w:rsid w:val="13620050"/>
    <w:rsid w:val="13A0020C"/>
    <w:rsid w:val="145F6A6F"/>
    <w:rsid w:val="1476335E"/>
    <w:rsid w:val="14CC2CA2"/>
    <w:rsid w:val="14ED3FF5"/>
    <w:rsid w:val="150E44AA"/>
    <w:rsid w:val="153D1E63"/>
    <w:rsid w:val="15497783"/>
    <w:rsid w:val="15CA5E3E"/>
    <w:rsid w:val="15EB2F54"/>
    <w:rsid w:val="16C24312"/>
    <w:rsid w:val="16C96622"/>
    <w:rsid w:val="179E25F4"/>
    <w:rsid w:val="184A355E"/>
    <w:rsid w:val="18CE4AC6"/>
    <w:rsid w:val="19564ABC"/>
    <w:rsid w:val="19C555F3"/>
    <w:rsid w:val="1A1B6D77"/>
    <w:rsid w:val="1A330FCD"/>
    <w:rsid w:val="1A424B3D"/>
    <w:rsid w:val="1A6E59AA"/>
    <w:rsid w:val="1AFE1D64"/>
    <w:rsid w:val="1B481CDF"/>
    <w:rsid w:val="1C217827"/>
    <w:rsid w:val="1C5927CA"/>
    <w:rsid w:val="1CE20908"/>
    <w:rsid w:val="1D34261E"/>
    <w:rsid w:val="1E6432D4"/>
    <w:rsid w:val="1ED34154"/>
    <w:rsid w:val="1EDA5FA2"/>
    <w:rsid w:val="1EE066D3"/>
    <w:rsid w:val="1F5A1159"/>
    <w:rsid w:val="1F845B16"/>
    <w:rsid w:val="1F875B0B"/>
    <w:rsid w:val="204405A1"/>
    <w:rsid w:val="21366A7E"/>
    <w:rsid w:val="2190618E"/>
    <w:rsid w:val="21CF7281"/>
    <w:rsid w:val="22230E89"/>
    <w:rsid w:val="22590C76"/>
    <w:rsid w:val="236D19BA"/>
    <w:rsid w:val="24547FF1"/>
    <w:rsid w:val="245E4322"/>
    <w:rsid w:val="24EF7350"/>
    <w:rsid w:val="24F22C19"/>
    <w:rsid w:val="26001511"/>
    <w:rsid w:val="26176E7E"/>
    <w:rsid w:val="263121A9"/>
    <w:rsid w:val="26981C0F"/>
    <w:rsid w:val="26C246A7"/>
    <w:rsid w:val="26F45A19"/>
    <w:rsid w:val="274F2647"/>
    <w:rsid w:val="279117F4"/>
    <w:rsid w:val="27997DBA"/>
    <w:rsid w:val="280751E1"/>
    <w:rsid w:val="28154059"/>
    <w:rsid w:val="281D03CA"/>
    <w:rsid w:val="286E4D4F"/>
    <w:rsid w:val="288E43B0"/>
    <w:rsid w:val="293715E5"/>
    <w:rsid w:val="29B80978"/>
    <w:rsid w:val="2A10729A"/>
    <w:rsid w:val="2A7C06C5"/>
    <w:rsid w:val="2A7F2767"/>
    <w:rsid w:val="2AAE65C3"/>
    <w:rsid w:val="2B2B36C8"/>
    <w:rsid w:val="2B3033E4"/>
    <w:rsid w:val="2B365FF8"/>
    <w:rsid w:val="2B670055"/>
    <w:rsid w:val="2B97411E"/>
    <w:rsid w:val="2C124B12"/>
    <w:rsid w:val="2C416A03"/>
    <w:rsid w:val="2D1F0B4D"/>
    <w:rsid w:val="2D8E0F2E"/>
    <w:rsid w:val="2DB16A16"/>
    <w:rsid w:val="2E494767"/>
    <w:rsid w:val="2E4C01D5"/>
    <w:rsid w:val="2EA8488B"/>
    <w:rsid w:val="2F776D0B"/>
    <w:rsid w:val="30096CB7"/>
    <w:rsid w:val="309F33BD"/>
    <w:rsid w:val="30F62A8E"/>
    <w:rsid w:val="31CF22E1"/>
    <w:rsid w:val="31DE4A8B"/>
    <w:rsid w:val="320318B4"/>
    <w:rsid w:val="3208499B"/>
    <w:rsid w:val="32623F45"/>
    <w:rsid w:val="32841110"/>
    <w:rsid w:val="328B4E7C"/>
    <w:rsid w:val="32CF68A1"/>
    <w:rsid w:val="33946BB3"/>
    <w:rsid w:val="33972595"/>
    <w:rsid w:val="33CC574C"/>
    <w:rsid w:val="34DB3503"/>
    <w:rsid w:val="35105A5E"/>
    <w:rsid w:val="355A0F87"/>
    <w:rsid w:val="363C449A"/>
    <w:rsid w:val="36657792"/>
    <w:rsid w:val="36CC15BF"/>
    <w:rsid w:val="36FB71FF"/>
    <w:rsid w:val="373757CA"/>
    <w:rsid w:val="383816F9"/>
    <w:rsid w:val="390B6245"/>
    <w:rsid w:val="391170C4"/>
    <w:rsid w:val="3A1C71C2"/>
    <w:rsid w:val="3AF83641"/>
    <w:rsid w:val="3BCB78E9"/>
    <w:rsid w:val="3C2D62F1"/>
    <w:rsid w:val="3CA52FDE"/>
    <w:rsid w:val="3D6A058B"/>
    <w:rsid w:val="3DCC2453"/>
    <w:rsid w:val="3DDC037F"/>
    <w:rsid w:val="3E0E070F"/>
    <w:rsid w:val="3EA773BD"/>
    <w:rsid w:val="3EB95DE8"/>
    <w:rsid w:val="3F160A15"/>
    <w:rsid w:val="3F593C0C"/>
    <w:rsid w:val="40061FE5"/>
    <w:rsid w:val="406520AE"/>
    <w:rsid w:val="418D7447"/>
    <w:rsid w:val="41BC6B9F"/>
    <w:rsid w:val="41F47C7D"/>
    <w:rsid w:val="420267DC"/>
    <w:rsid w:val="42674891"/>
    <w:rsid w:val="42DF63A1"/>
    <w:rsid w:val="43594398"/>
    <w:rsid w:val="43B835F7"/>
    <w:rsid w:val="43CC52F4"/>
    <w:rsid w:val="44087745"/>
    <w:rsid w:val="440920A4"/>
    <w:rsid w:val="446E1F07"/>
    <w:rsid w:val="44886C81"/>
    <w:rsid w:val="44A07888"/>
    <w:rsid w:val="44E623E5"/>
    <w:rsid w:val="45755315"/>
    <w:rsid w:val="45A007E6"/>
    <w:rsid w:val="45E36925"/>
    <w:rsid w:val="45EC440A"/>
    <w:rsid w:val="45FA1273"/>
    <w:rsid w:val="46F95AEB"/>
    <w:rsid w:val="46FB1C48"/>
    <w:rsid w:val="473F4AF4"/>
    <w:rsid w:val="476D241D"/>
    <w:rsid w:val="477A791A"/>
    <w:rsid w:val="47F45763"/>
    <w:rsid w:val="482D488D"/>
    <w:rsid w:val="48A24875"/>
    <w:rsid w:val="48B74B74"/>
    <w:rsid w:val="49156DF5"/>
    <w:rsid w:val="4959323F"/>
    <w:rsid w:val="49873B21"/>
    <w:rsid w:val="49F42EAF"/>
    <w:rsid w:val="4B1E3B2B"/>
    <w:rsid w:val="4B596CAB"/>
    <w:rsid w:val="4BA518BD"/>
    <w:rsid w:val="4CA50CD6"/>
    <w:rsid w:val="4E5403C0"/>
    <w:rsid w:val="4E887E00"/>
    <w:rsid w:val="4EB8358F"/>
    <w:rsid w:val="4F9461CA"/>
    <w:rsid w:val="4FA200C4"/>
    <w:rsid w:val="4FC17904"/>
    <w:rsid w:val="50534735"/>
    <w:rsid w:val="50602DC5"/>
    <w:rsid w:val="5067433E"/>
    <w:rsid w:val="508D1967"/>
    <w:rsid w:val="50DC1EB2"/>
    <w:rsid w:val="51351B8F"/>
    <w:rsid w:val="515F3FEF"/>
    <w:rsid w:val="51F64AEC"/>
    <w:rsid w:val="523924E1"/>
    <w:rsid w:val="523F0C82"/>
    <w:rsid w:val="527E074E"/>
    <w:rsid w:val="5357445D"/>
    <w:rsid w:val="5394207E"/>
    <w:rsid w:val="54290655"/>
    <w:rsid w:val="54BC281B"/>
    <w:rsid w:val="55067BBB"/>
    <w:rsid w:val="552C5538"/>
    <w:rsid w:val="55422AB9"/>
    <w:rsid w:val="55B21223"/>
    <w:rsid w:val="55CD58BC"/>
    <w:rsid w:val="56CE516D"/>
    <w:rsid w:val="56D976B4"/>
    <w:rsid w:val="56DF14D7"/>
    <w:rsid w:val="56E24723"/>
    <w:rsid w:val="576D06D7"/>
    <w:rsid w:val="579503FF"/>
    <w:rsid w:val="58006EC2"/>
    <w:rsid w:val="58201313"/>
    <w:rsid w:val="589F492D"/>
    <w:rsid w:val="592E5CD2"/>
    <w:rsid w:val="59A830F7"/>
    <w:rsid w:val="5A3558D7"/>
    <w:rsid w:val="5A7306C9"/>
    <w:rsid w:val="5A75000C"/>
    <w:rsid w:val="5A761455"/>
    <w:rsid w:val="5A832C9E"/>
    <w:rsid w:val="5A9F57B2"/>
    <w:rsid w:val="5B28184F"/>
    <w:rsid w:val="5BFD3607"/>
    <w:rsid w:val="5C084D84"/>
    <w:rsid w:val="5C23478B"/>
    <w:rsid w:val="5D1C4D6D"/>
    <w:rsid w:val="5D494E68"/>
    <w:rsid w:val="5D916F3A"/>
    <w:rsid w:val="5EF77764"/>
    <w:rsid w:val="5EF9534E"/>
    <w:rsid w:val="5EFD2476"/>
    <w:rsid w:val="5F50072F"/>
    <w:rsid w:val="5F5701AF"/>
    <w:rsid w:val="5F957BA7"/>
    <w:rsid w:val="5FCB0D93"/>
    <w:rsid w:val="60535296"/>
    <w:rsid w:val="60796BD0"/>
    <w:rsid w:val="60BB24CE"/>
    <w:rsid w:val="61296C26"/>
    <w:rsid w:val="61412A26"/>
    <w:rsid w:val="614F2739"/>
    <w:rsid w:val="616F1AFE"/>
    <w:rsid w:val="61B575A9"/>
    <w:rsid w:val="621912AD"/>
    <w:rsid w:val="63451787"/>
    <w:rsid w:val="63A93CB5"/>
    <w:rsid w:val="64AE2ACA"/>
    <w:rsid w:val="65527B4A"/>
    <w:rsid w:val="65A52BEE"/>
    <w:rsid w:val="65E240AB"/>
    <w:rsid w:val="666D1025"/>
    <w:rsid w:val="6681025D"/>
    <w:rsid w:val="66E6103B"/>
    <w:rsid w:val="66F26570"/>
    <w:rsid w:val="670224A7"/>
    <w:rsid w:val="68190258"/>
    <w:rsid w:val="68DD3F42"/>
    <w:rsid w:val="68F24605"/>
    <w:rsid w:val="698947DB"/>
    <w:rsid w:val="69AD5D0E"/>
    <w:rsid w:val="69E93E5B"/>
    <w:rsid w:val="6ABE50E7"/>
    <w:rsid w:val="6AF34365"/>
    <w:rsid w:val="6B43383E"/>
    <w:rsid w:val="6B881251"/>
    <w:rsid w:val="6D6830E8"/>
    <w:rsid w:val="6DB1683D"/>
    <w:rsid w:val="6EA75E92"/>
    <w:rsid w:val="6EEE586F"/>
    <w:rsid w:val="6F1E717C"/>
    <w:rsid w:val="6F415FBF"/>
    <w:rsid w:val="711A1139"/>
    <w:rsid w:val="7122768B"/>
    <w:rsid w:val="71876BF6"/>
    <w:rsid w:val="71CE21E8"/>
    <w:rsid w:val="723A08DA"/>
    <w:rsid w:val="72FD2525"/>
    <w:rsid w:val="734B045B"/>
    <w:rsid w:val="73FA5DEE"/>
    <w:rsid w:val="7419338E"/>
    <w:rsid w:val="74325C3F"/>
    <w:rsid w:val="747829A3"/>
    <w:rsid w:val="74AA48DA"/>
    <w:rsid w:val="74CA5427"/>
    <w:rsid w:val="752E433B"/>
    <w:rsid w:val="77A1539E"/>
    <w:rsid w:val="77ED2E5B"/>
    <w:rsid w:val="78993F6F"/>
    <w:rsid w:val="78A16BF5"/>
    <w:rsid w:val="78A226C2"/>
    <w:rsid w:val="78AE679B"/>
    <w:rsid w:val="791E5B16"/>
    <w:rsid w:val="793E014F"/>
    <w:rsid w:val="79556C16"/>
    <w:rsid w:val="79FF6045"/>
    <w:rsid w:val="7A0F623B"/>
    <w:rsid w:val="7A451583"/>
    <w:rsid w:val="7ACB5A2B"/>
    <w:rsid w:val="7AE24B3C"/>
    <w:rsid w:val="7AF92E7C"/>
    <w:rsid w:val="7B1E128A"/>
    <w:rsid w:val="7B221A0A"/>
    <w:rsid w:val="7BB41985"/>
    <w:rsid w:val="7BE82458"/>
    <w:rsid w:val="7CE107C1"/>
    <w:rsid w:val="7D5E522E"/>
    <w:rsid w:val="7D787377"/>
    <w:rsid w:val="7E153868"/>
    <w:rsid w:val="7E573F43"/>
    <w:rsid w:val="7EC76812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0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line number"/>
    <w:qFormat/>
    <w:uiPriority w:val="0"/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页脚 Char"/>
    <w:link w:val="5"/>
    <w:qFormat/>
    <w:uiPriority w:val="0"/>
    <w:rPr>
      <w:sz w:val="18"/>
      <w:szCs w:val="18"/>
    </w:rPr>
  </w:style>
  <w:style w:type="character" w:customStyle="1" w:styleId="14">
    <w:name w:val="页眉 Char"/>
    <w:link w:val="6"/>
    <w:qFormat/>
    <w:uiPriority w:val="0"/>
    <w:rPr>
      <w:sz w:val="18"/>
      <w:szCs w:val="18"/>
    </w:rPr>
  </w:style>
  <w:style w:type="paragraph" w:styleId="15">
    <w:name w:val="List Paragraph"/>
    <w:basedOn w:val="1"/>
    <w:qFormat/>
    <w:uiPriority w:val="0"/>
    <w:pPr>
      <w:ind w:firstLine="420" w:firstLineChars="200"/>
    </w:pPr>
  </w:style>
  <w:style w:type="character" w:customStyle="1" w:styleId="16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7">
    <w:name w:val="标题 1 Char"/>
    <w:link w:val="2"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8">
    <w:name w:val="TOC Heading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9">
    <w:name w:val="批注文字 Char"/>
    <w:link w:val="3"/>
    <w:qFormat/>
    <w:uiPriority w:val="0"/>
    <w:rPr>
      <w:kern w:val="2"/>
      <w:sz w:val="21"/>
      <w:szCs w:val="22"/>
    </w:rPr>
  </w:style>
  <w:style w:type="character" w:customStyle="1" w:styleId="20">
    <w:name w:val="批注主题 Char"/>
    <w:link w:val="7"/>
    <w:qFormat/>
    <w:uiPriority w:val="0"/>
    <w:rPr>
      <w:b/>
      <w:bCs/>
      <w:kern w:val="2"/>
      <w:sz w:val="21"/>
      <w:szCs w:val="22"/>
    </w:rPr>
  </w:style>
  <w:style w:type="character" w:customStyle="1" w:styleId="21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2">
    <w:name w:val="fontstyle21"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3">
    <w:name w:val="fontstyle11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4">
    <w:name w:val="fontstyle31"/>
    <w:qFormat/>
    <w:uiPriority w:val="0"/>
    <w:rPr>
      <w:rFonts w:hint="default" w:ascii="TimesNewRomanPSMT" w:hAnsi="TimesNewRomanPSMT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42</Pages>
  <Words>13487</Words>
  <Characters>15764</Characters>
  <Lines>68</Lines>
  <Paragraphs>19</Paragraphs>
  <TotalTime>2</TotalTime>
  <ScaleCrop>false</ScaleCrop>
  <LinksUpToDate>false</LinksUpToDate>
  <CharactersWithSpaces>16159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Administrator</cp:lastModifiedBy>
  <cp:lastPrinted>2022-02-15T07:45:00Z</cp:lastPrinted>
  <dcterms:modified xsi:type="dcterms:W3CDTF">2024-03-18T08:32:03Z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4746AA2B63644A919A7677ADD6665D0C</vt:lpwstr>
  </property>
</Properties>
</file>