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81BD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黑体" w:hAnsi="黑体" w:eastAsia="黑体" w:cs="黑体"/>
          <w:color w:val="auto"/>
          <w:sz w:val="32"/>
          <w:szCs w:val="32"/>
        </w:rPr>
      </w:pPr>
      <w:bookmarkStart w:id="0" w:name="_GoBack"/>
      <w:bookmarkEnd w:id="0"/>
      <w:r>
        <w:rPr>
          <w:rFonts w:hint="eastAsia" w:ascii="黑体" w:hAnsi="黑体" w:eastAsia="黑体" w:cs="黑体"/>
          <w:color w:val="auto"/>
          <w:sz w:val="32"/>
          <w:szCs w:val="32"/>
        </w:rPr>
        <w:t>附件1</w:t>
      </w:r>
    </w:p>
    <w:p w14:paraId="7412EA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仿宋_GB2312" w:hAnsi="仿宋_GB2312" w:eastAsia="仿宋_GB2312" w:cs="仿宋_GB2312"/>
          <w:color w:val="auto"/>
          <w:sz w:val="32"/>
          <w:szCs w:val="32"/>
        </w:rPr>
      </w:pPr>
    </w:p>
    <w:p w14:paraId="6F8624F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第三轮</w:t>
      </w:r>
      <w:r>
        <w:rPr>
          <w:rFonts w:hint="eastAsia" w:ascii="方正小标宋简体" w:hAnsi="方正小标宋简体" w:eastAsia="方正小标宋简体" w:cs="方正小标宋简体"/>
          <w:color w:val="auto"/>
          <w:sz w:val="44"/>
          <w:szCs w:val="44"/>
          <w:lang w:eastAsia="zh-CN"/>
        </w:rPr>
        <w:t>省级生态环境</w:t>
      </w:r>
      <w:r>
        <w:rPr>
          <w:rFonts w:hint="eastAsia" w:ascii="方正小标宋简体" w:hAnsi="方正小标宋简体" w:eastAsia="方正小标宋简体" w:cs="方正小标宋简体"/>
          <w:color w:val="auto"/>
          <w:sz w:val="44"/>
          <w:szCs w:val="44"/>
        </w:rPr>
        <w:t>保护督察第</w:t>
      </w:r>
      <w:r>
        <w:rPr>
          <w:rFonts w:hint="eastAsia" w:ascii="方正小标宋简体" w:hAnsi="方正小标宋简体" w:eastAsia="方正小标宋简体" w:cs="方正小标宋简体"/>
          <w:color w:val="auto"/>
          <w:sz w:val="44"/>
          <w:szCs w:val="44"/>
          <w:lang w:val="en-US" w:eastAsia="zh-CN"/>
        </w:rPr>
        <w:t>33</w:t>
      </w:r>
      <w:r>
        <w:rPr>
          <w:rFonts w:hint="eastAsia" w:ascii="方正小标宋简体" w:hAnsi="方正小标宋简体" w:eastAsia="方正小标宋简体" w:cs="方正小标宋简体"/>
          <w:color w:val="auto"/>
          <w:sz w:val="44"/>
          <w:szCs w:val="44"/>
        </w:rPr>
        <w:t>项</w:t>
      </w:r>
    </w:p>
    <w:p w14:paraId="407AEA8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整改任务完成情况</w:t>
      </w:r>
    </w:p>
    <w:p w14:paraId="1C690D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仿宋_GB2312" w:hAnsi="仿宋_GB2312" w:eastAsia="仿宋_GB2312" w:cs="仿宋_GB2312"/>
          <w:color w:val="auto"/>
          <w:sz w:val="32"/>
          <w:szCs w:val="32"/>
        </w:rPr>
      </w:pPr>
    </w:p>
    <w:p w14:paraId="0C6201F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问题编号：</w:t>
      </w:r>
      <w:r>
        <w:rPr>
          <w:rFonts w:hint="eastAsia" w:ascii="仿宋_GB2312" w:hAnsi="仿宋_GB2312" w:eastAsia="仿宋_GB2312" w:cs="仿宋_GB2312"/>
          <w:b w:val="0"/>
          <w:bCs w:val="0"/>
          <w:color w:val="auto"/>
          <w:sz w:val="32"/>
          <w:szCs w:val="32"/>
          <w:lang w:val="en-US" w:eastAsia="zh-CN"/>
        </w:rPr>
        <w:t>问题33</w:t>
      </w:r>
    </w:p>
    <w:p w14:paraId="7B4B4F7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b/>
          <w:bCs/>
          <w:color w:val="auto"/>
          <w:sz w:val="32"/>
          <w:szCs w:val="32"/>
          <w:u w:val="none" w:color="auto"/>
          <w:lang w:val="en-US" w:eastAsia="zh-CN"/>
        </w:rPr>
      </w:pPr>
      <w:r>
        <w:rPr>
          <w:rFonts w:hint="eastAsia" w:ascii="仿宋_GB2312" w:hAnsi="仿宋_GB2312" w:eastAsia="仿宋_GB2312" w:cs="仿宋_GB2312"/>
          <w:b/>
          <w:bCs/>
          <w:color w:val="auto"/>
          <w:sz w:val="32"/>
          <w:szCs w:val="32"/>
        </w:rPr>
        <w:t>问题表述：</w:t>
      </w:r>
      <w:r>
        <w:rPr>
          <w:rStyle w:val="11"/>
          <w:rFonts w:hint="eastAsia" w:ascii="仿宋_GB2312" w:hAnsi="仿宋_GB2312" w:eastAsia="仿宋_GB2312" w:cs="仿宋_GB2312"/>
          <w:b w:val="0"/>
          <w:bCs w:val="0"/>
          <w:color w:val="auto"/>
          <w:sz w:val="32"/>
          <w:szCs w:val="32"/>
          <w:u w:val="none"/>
          <w:lang w:val="en-US" w:eastAsia="zh-CN" w:bidi="ar"/>
        </w:rPr>
        <w:t>督察发现，2021年高台县罗城镇占补平衡、2022年临泽县平沙墩滩补充耕地等多个土地整理项目，违规从黑河灌区引水灌溉。</w:t>
      </w:r>
    </w:p>
    <w:p w14:paraId="7E7805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pPr>
      <w:r>
        <w:rPr>
          <w:rFonts w:hint="eastAsia" w:ascii="仿宋_GB2312" w:hAnsi="仿宋_GB2312" w:eastAsia="仿宋_GB2312" w:cs="仿宋_GB2312"/>
          <w:b/>
          <w:bCs/>
          <w:color w:val="auto"/>
          <w:sz w:val="32"/>
          <w:szCs w:val="32"/>
        </w:rPr>
        <w:t>整改目标：</w:t>
      </w:r>
      <w:r>
        <w:rPr>
          <w:rStyle w:val="11"/>
          <w:rFonts w:hint="eastAsia" w:ascii="仿宋_GB2312" w:hAnsi="仿宋_GB2312" w:eastAsia="仿宋_GB2312" w:cs="仿宋_GB2312"/>
          <w:b w:val="0"/>
          <w:bCs w:val="0"/>
          <w:color w:val="auto"/>
          <w:sz w:val="32"/>
          <w:szCs w:val="32"/>
          <w:u w:val="none"/>
          <w:lang w:val="en-US" w:eastAsia="zh-CN" w:bidi="ar"/>
        </w:rPr>
        <w:t>管水与控地协同推进，严控新增耕地面积，确保土地整理项目取用水合法合规。</w:t>
      </w:r>
    </w:p>
    <w:p w14:paraId="16F855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u w:val="none" w:color="auto"/>
          <w:lang w:val="en-US" w:eastAsia="zh-CN"/>
        </w:rPr>
      </w:pPr>
      <w:r>
        <w:rPr>
          <w:rFonts w:hint="eastAsia" w:ascii="仿宋_GB2312" w:hAnsi="仿宋_GB2312" w:eastAsia="仿宋_GB2312" w:cs="仿宋_GB2312"/>
          <w:b/>
          <w:bCs/>
          <w:color w:val="auto"/>
          <w:sz w:val="32"/>
          <w:szCs w:val="32"/>
        </w:rPr>
        <w:t>整改时限：</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12</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31</w:t>
      </w:r>
      <w:r>
        <w:rPr>
          <w:rFonts w:hint="eastAsia" w:ascii="仿宋_GB2312" w:hAnsi="仿宋_GB2312" w:eastAsia="仿宋_GB2312" w:cs="仿宋_GB2312"/>
          <w:b w:val="0"/>
          <w:bCs w:val="0"/>
          <w:color w:val="auto"/>
          <w:sz w:val="32"/>
          <w:szCs w:val="32"/>
        </w:rPr>
        <w:t>日前</w:t>
      </w:r>
    </w:p>
    <w:p w14:paraId="79550767">
      <w:pPr>
        <w:keepNext w:val="0"/>
        <w:keepLines w:val="0"/>
        <w:pageBreakBefore w:val="0"/>
        <w:widowControl/>
        <w:suppressLineNumbers w:val="0"/>
        <w:kinsoku/>
        <w:wordWrap/>
        <w:overflowPunct/>
        <w:topLinePunct w:val="0"/>
        <w:autoSpaceDN/>
        <w:bidi w:val="0"/>
        <w:adjustRightInd/>
        <w:spacing w:line="560" w:lineRule="exact"/>
        <w:ind w:left="0" w:leftChars="0" w:firstLine="619" w:firstLineChars="200"/>
        <w:jc w:val="left"/>
        <w:textAlignment w:val="auto"/>
        <w:rPr>
          <w:rFonts w:hint="eastAsia" w:ascii="仿宋_GB2312" w:hAnsi="仿宋_GB2312" w:eastAsia="仿宋_GB2312" w:cs="仿宋_GB2312"/>
          <w:b w:val="0"/>
          <w:bCs w:val="0"/>
          <w:color w:val="auto"/>
          <w:spacing w:val="-6"/>
          <w:sz w:val="32"/>
          <w:szCs w:val="32"/>
          <w:u w:val="none" w:color="auto"/>
          <w:lang w:val="en-US" w:eastAsia="zh-CN"/>
        </w:rPr>
      </w:pPr>
      <w:r>
        <w:rPr>
          <w:rFonts w:hint="eastAsia" w:ascii="仿宋_GB2312" w:hAnsi="仿宋_GB2312" w:eastAsia="仿宋_GB2312" w:cs="仿宋_GB2312"/>
          <w:b/>
          <w:bCs/>
          <w:color w:val="auto"/>
          <w:spacing w:val="-6"/>
          <w:sz w:val="32"/>
          <w:szCs w:val="32"/>
        </w:rPr>
        <w:t>整改实施主体：</w:t>
      </w:r>
      <w:r>
        <w:rPr>
          <w:rFonts w:ascii="仿宋_GB2312" w:hAnsi="宋体" w:eastAsia="仿宋_GB2312" w:cs="仿宋_GB2312"/>
          <w:color w:val="000000"/>
          <w:kern w:val="0"/>
          <w:sz w:val="31"/>
          <w:szCs w:val="31"/>
          <w:lang w:val="en-US" w:eastAsia="zh-CN" w:bidi="ar"/>
        </w:rPr>
        <w:t>临泽县、高台县党委和人民政府，市水务局、市</w:t>
      </w:r>
      <w:r>
        <w:rPr>
          <w:rFonts w:hint="eastAsia" w:ascii="仿宋_GB2312" w:hAnsi="宋体" w:eastAsia="仿宋_GB2312" w:cs="仿宋_GB2312"/>
          <w:color w:val="000000"/>
          <w:kern w:val="0"/>
          <w:sz w:val="31"/>
          <w:szCs w:val="31"/>
          <w:lang w:val="en-US" w:eastAsia="zh-CN" w:bidi="ar"/>
        </w:rPr>
        <w:t>自然资源局、市农业农村局</w:t>
      </w:r>
    </w:p>
    <w:p w14:paraId="5CEA916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整改情况</w:t>
      </w:r>
      <w:r>
        <w:rPr>
          <w:rFonts w:hint="eastAsia" w:ascii="仿宋_GB2312" w:hAnsi="仿宋_GB2312" w:eastAsia="仿宋_GB2312" w:cs="仿宋_GB2312"/>
          <w:b/>
          <w:bCs/>
          <w:color w:val="auto"/>
          <w:sz w:val="32"/>
          <w:szCs w:val="32"/>
          <w:lang w:eastAsia="zh-CN"/>
        </w:rPr>
        <w:t>：</w:t>
      </w:r>
    </w:p>
    <w:p w14:paraId="37C2951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Style w:val="11"/>
          <w:rFonts w:hint="eastAsia" w:ascii="仿宋_GB2312" w:hAnsi="仿宋_GB2312" w:eastAsia="仿宋_GB2312" w:cs="仿宋_GB2312"/>
          <w:b w:val="0"/>
          <w:bCs w:val="0"/>
          <w:color w:val="auto"/>
          <w:sz w:val="32"/>
          <w:szCs w:val="32"/>
          <w:u w:val="none"/>
          <w:lang w:val="en-US" w:eastAsia="zh-CN" w:bidi="ar"/>
        </w:rPr>
      </w:pPr>
      <w:r>
        <w:rPr>
          <w:rStyle w:val="11"/>
          <w:rFonts w:hint="eastAsia" w:ascii="仿宋_GB2312" w:hAnsi="仿宋_GB2312" w:eastAsia="仿宋_GB2312" w:cs="仿宋_GB2312"/>
          <w:b w:val="0"/>
          <w:bCs w:val="0"/>
          <w:color w:val="auto"/>
          <w:sz w:val="32"/>
          <w:szCs w:val="32"/>
          <w:u w:val="none"/>
          <w:lang w:val="en-US" w:eastAsia="zh-CN" w:bidi="ar"/>
        </w:rPr>
        <w:t>1.2021年高台县罗城镇占补平衡项目用水通过罗城镇和友联灌区实施的高效节水项目节约水量解决，未新增用水指标。项目水权交易可行性研究报告和水资源论证报告书分别经高台县人民政府、高台县水务局批复，交易水量348.38万立方米。自然资源、林草及湿地部门联合发布《严厉打击非法开荒公告》。同时，自然资源局会同林草局、湿地局、公安局、农业农村局、水务局等相关部门建立联动执法机制，密切协作配合，强化日常执法监督检查。</w:t>
      </w:r>
    </w:p>
    <w:p w14:paraId="3F147BB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Style w:val="11"/>
          <w:rFonts w:hint="eastAsia" w:ascii="仿宋_GB2312" w:hAnsi="仿宋_GB2312" w:eastAsia="仿宋_GB2312" w:cs="仿宋_GB2312"/>
          <w:b w:val="0"/>
          <w:bCs w:val="0"/>
          <w:color w:val="auto"/>
          <w:sz w:val="32"/>
          <w:szCs w:val="32"/>
          <w:u w:val="none"/>
          <w:lang w:val="en-US" w:eastAsia="zh-CN" w:bidi="ar"/>
        </w:rPr>
      </w:pPr>
      <w:r>
        <w:rPr>
          <w:rStyle w:val="11"/>
          <w:rFonts w:hint="eastAsia" w:ascii="仿宋_GB2312" w:hAnsi="仿宋_GB2312" w:eastAsia="仿宋_GB2312" w:cs="仿宋_GB2312"/>
          <w:b w:val="0"/>
          <w:bCs w:val="0"/>
          <w:color w:val="auto"/>
          <w:sz w:val="32"/>
          <w:szCs w:val="32"/>
          <w:u w:val="none"/>
          <w:lang w:val="en-US" w:eastAsia="zh-CN" w:bidi="ar"/>
        </w:rPr>
        <w:t>2.经全面梳理，2021年高台县罗城镇占补平衡在项目实施前均征询各单位意见，各单位均同意项目实施，项目于2021年9月由省自然资源厅立项批复实施。</w:t>
      </w:r>
    </w:p>
    <w:p w14:paraId="14CA14C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Style w:val="11"/>
          <w:rFonts w:hint="eastAsia" w:ascii="仿宋_GB2312" w:hAnsi="仿宋_GB2312" w:eastAsia="仿宋_GB2312" w:cs="仿宋_GB2312"/>
          <w:b w:val="0"/>
          <w:bCs w:val="0"/>
          <w:color w:val="auto"/>
          <w:sz w:val="32"/>
          <w:szCs w:val="32"/>
          <w:u w:val="none"/>
          <w:lang w:val="en-US" w:eastAsia="zh-CN" w:bidi="ar"/>
        </w:rPr>
      </w:pPr>
      <w:r>
        <w:rPr>
          <w:rStyle w:val="11"/>
          <w:rFonts w:hint="eastAsia" w:ascii="仿宋_GB2312" w:hAnsi="仿宋_GB2312" w:eastAsia="仿宋_GB2312" w:cs="仿宋_GB2312"/>
          <w:b w:val="0"/>
          <w:bCs w:val="0"/>
          <w:color w:val="auto"/>
          <w:sz w:val="32"/>
          <w:szCs w:val="32"/>
          <w:u w:val="none"/>
          <w:lang w:val="en-US" w:eastAsia="zh-CN" w:bidi="ar"/>
        </w:rPr>
        <w:t xml:space="preserve">3.严格建设项目水资源论证,2024年以来全县生产建设项目水资源论证审查中，未涉及需申请新增用水指标的建设项目。  </w:t>
      </w:r>
    </w:p>
    <w:p w14:paraId="2706A3E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pPr>
      <w:r>
        <w:rPr>
          <w:rFonts w:hint="eastAsia" w:ascii="仿宋_GB2312" w:hAnsi="仿宋_GB2312" w:eastAsia="仿宋_GB2312" w:cs="仿宋_GB2312"/>
          <w:b/>
          <w:bCs/>
          <w:color w:val="auto"/>
          <w:sz w:val="32"/>
          <w:szCs w:val="32"/>
        </w:rPr>
        <w:t>整改结论：</w:t>
      </w:r>
      <w:r>
        <w:rPr>
          <w:rFonts w:hint="eastAsia" w:ascii="仿宋_GB2312" w:hAnsi="仿宋_GB2312" w:eastAsia="仿宋_GB2312" w:cs="仿宋_GB2312"/>
          <w:color w:val="auto"/>
          <w:sz w:val="32"/>
          <w:szCs w:val="32"/>
        </w:rPr>
        <w:t>已完成整改</w:t>
      </w:r>
      <w:r>
        <w:rPr>
          <w:rFonts w:hint="eastAsia" w:ascii="仿宋_GB2312" w:hAnsi="仿宋_GB2312" w:eastAsia="仿宋_GB2312" w:cs="仿宋_GB2312"/>
          <w:color w:val="auto"/>
          <w:sz w:val="32"/>
          <w:szCs w:val="32"/>
          <w:lang w:eastAsia="zh-CN"/>
        </w:rPr>
        <w:t>。</w:t>
      </w:r>
    </w:p>
    <w:sectPr>
      <w:footerReference r:id="rId3" w:type="default"/>
      <w:pgSz w:w="11906" w:h="16838"/>
      <w:pgMar w:top="1984" w:right="1587" w:bottom="1587" w:left="1587" w:header="992" w:footer="1417" w:gutter="0"/>
      <w:paperSrc/>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小标宋-GB2312">
    <w:panose1 w:val="02000500000000000000"/>
    <w:charset w:val="86"/>
    <w:family w:val="auto"/>
    <w:pitch w:val="default"/>
    <w:sig w:usb0="800002AF" w:usb1="084F6CF8" w:usb2="00000010"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7431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717E54">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5D717E54">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MWJmNDAxYTI2YTRiYWYwMjBhODYzMWI2ZmY5MzkifQ=="/>
  </w:docVars>
  <w:rsids>
    <w:rsidRoot w:val="3F78273B"/>
    <w:rsid w:val="01E02531"/>
    <w:rsid w:val="09125E83"/>
    <w:rsid w:val="0AE37A12"/>
    <w:rsid w:val="137B20B4"/>
    <w:rsid w:val="1FBC3556"/>
    <w:rsid w:val="1FEF5EEF"/>
    <w:rsid w:val="367B1732"/>
    <w:rsid w:val="3C72A5D6"/>
    <w:rsid w:val="3D121E31"/>
    <w:rsid w:val="3E77CCB5"/>
    <w:rsid w:val="3F78273B"/>
    <w:rsid w:val="4D2F0CFF"/>
    <w:rsid w:val="51A451BA"/>
    <w:rsid w:val="54EE3C23"/>
    <w:rsid w:val="55D79DF7"/>
    <w:rsid w:val="5A9E3D00"/>
    <w:rsid w:val="5BB945AF"/>
    <w:rsid w:val="6CAB74A7"/>
    <w:rsid w:val="77A71061"/>
    <w:rsid w:val="799F7E92"/>
    <w:rsid w:val="7C754EC7"/>
    <w:rsid w:val="7D6F5181"/>
    <w:rsid w:val="7E6266F4"/>
    <w:rsid w:val="7FA25A34"/>
    <w:rsid w:val="7FFE5147"/>
    <w:rsid w:val="CBDF7BEB"/>
    <w:rsid w:val="CCFB26E4"/>
    <w:rsid w:val="EF7AFCD2"/>
    <w:rsid w:val="F5FE53AC"/>
    <w:rsid w:val="F74F57CF"/>
    <w:rsid w:val="F768AAEE"/>
    <w:rsid w:val="F77D85A1"/>
    <w:rsid w:val="FDFDF22E"/>
    <w:rsid w:val="FFCFDA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index 6"/>
    <w:basedOn w:val="1"/>
    <w:next w:val="1"/>
    <w:semiHidden/>
    <w:qFormat/>
    <w:uiPriority w:val="99"/>
    <w:pPr>
      <w:ind w:firstLine="440" w:firstLineChars="200"/>
    </w:pPr>
    <w:rPr>
      <w:rFonts w:ascii="Calibri" w:hAnsi="Calibri" w:cs="Calibri"/>
      <w:sz w:val="22"/>
      <w:szCs w:val="22"/>
    </w:rPr>
  </w:style>
  <w:style w:type="paragraph" w:styleId="3">
    <w:name w:val="Normal Indent"/>
    <w:basedOn w:val="1"/>
    <w:next w:val="1"/>
    <w:qFormat/>
    <w:uiPriority w:val="99"/>
    <w:pPr>
      <w:snapToGrid w:val="0"/>
      <w:ind w:firstLine="556"/>
    </w:pPr>
    <w:rPr>
      <w:rFonts w:ascii="仿宋_GB2312" w:eastAsia="仿宋_GB2312"/>
      <w:kern w:val="0"/>
      <w:sz w:val="21"/>
      <w:szCs w:val="20"/>
      <w:lang w:val="zh-C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uiPriority w:val="0"/>
    <w:rPr>
      <w:color w:val="0000FF"/>
      <w:u w:val="single"/>
    </w:rPr>
  </w:style>
  <w:style w:type="character" w:customStyle="1" w:styleId="11">
    <w:name w:val="font01"/>
    <w:basedOn w:val="8"/>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1062</Words>
  <Characters>1164</Characters>
  <Lines>0</Lines>
  <Paragraphs>0</Paragraphs>
  <TotalTime>5.33333333333333</TotalTime>
  <ScaleCrop>false</ScaleCrop>
  <LinksUpToDate>false</LinksUpToDate>
  <CharactersWithSpaces>1192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2025-06-18T21:24:00Z</dcterms:created>
  <dc:creator>uos</dc:creator>
  <cp:lastModifiedBy>hhkj</cp:lastModifiedBy>
  <cp:lastPrinted>2026-01-23T01:24:35Z</cp:lastPrinted>
  <dcterms:modified xsi:type="dcterms:W3CDTF">2026-10-26T11:05:46Z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eyJoZGlkIjoiNTEzZmQwMzg1YjIzODQ1ZjAyYTdhN2NlZTM0YTZkNTQiLCJ1c2VySWQiOiIzMDE4NDkwMjcifQ==</vt:lpwstr>
  </property>
  <property fmtid="{D5CDD505-2E9C-101B-9397-08002B2CF9AE}" pid="4" name="ICV">
    <vt:lpwstr>476ABD569D904EF88AC3DE6A618AC6F2_43</vt:lpwstr>
  </property>
</Properties>
</file>