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BA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6A297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高台县人力资源和社会保障局</w:t>
      </w:r>
    </w:p>
    <w:p w14:paraId="5CBE5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baseline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开展</w:t>
      </w:r>
      <w:r>
        <w:rPr>
          <w:rFonts w:hint="eastAsia" w:ascii="方正小标宋简体" w:eastAsia="方正小标宋简体"/>
          <w:sz w:val="44"/>
          <w:szCs w:val="44"/>
        </w:rPr>
        <w:t>企业劳动保障守法诚信等级</w:t>
      </w:r>
    </w:p>
    <w:p w14:paraId="7B525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baseline"/>
        <w:rPr>
          <w:rFonts w:hint="eastAsia" w:asci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0"/>
          <w:sz w:val="44"/>
          <w:szCs w:val="44"/>
        </w:rPr>
        <w:t>评价</w:t>
      </w:r>
      <w:r>
        <w:rPr>
          <w:rFonts w:hint="eastAsia" w:ascii="方正小标宋简体" w:eastAsia="方正小标宋简体"/>
          <w:spacing w:val="0"/>
          <w:sz w:val="44"/>
          <w:szCs w:val="44"/>
          <w:lang w:eastAsia="zh-CN"/>
        </w:rPr>
        <w:t>工作</w:t>
      </w:r>
      <w:r>
        <w:rPr>
          <w:rFonts w:hint="eastAsia" w:ascii="方正小标宋简体" w:eastAsia="方正小标宋简体"/>
          <w:spacing w:val="0"/>
          <w:sz w:val="44"/>
          <w:szCs w:val="44"/>
        </w:rPr>
        <w:t>的通知</w:t>
      </w:r>
    </w:p>
    <w:p w14:paraId="62ACD8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小标宋简体" w:eastAsia="方正小标宋简体"/>
          <w:spacing w:val="0"/>
          <w:sz w:val="44"/>
          <w:szCs w:val="44"/>
        </w:rPr>
      </w:pPr>
    </w:p>
    <w:p w14:paraId="12558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lang w:eastAsia="zh-CN"/>
        </w:rPr>
      </w:pPr>
      <w:r>
        <w:rPr>
          <w:rFonts w:hint="eastAsia" w:ascii="楷体_GB2312" w:hAnsi="楷体_GB2312" w:eastAsia="楷体_GB2312" w:cs="楷体_GB2312"/>
          <w:lang w:eastAsia="zh-CN"/>
        </w:rPr>
        <w:t>（征求意见稿）</w:t>
      </w:r>
    </w:p>
    <w:p w14:paraId="174632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</w:pPr>
    </w:p>
    <w:p w14:paraId="58EF8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为督促用人单位遵守劳动保障法律法规、履行守法诚信义务</w:t>
      </w:r>
      <w:r>
        <w:rPr>
          <w:rFonts w:hint="eastAsia" w:ascii="仿宋_GB2312"/>
          <w:spacing w:val="0"/>
          <w:szCs w:val="32"/>
          <w:lang w:eastAsia="zh-CN"/>
        </w:rPr>
        <w:t>、</w:t>
      </w:r>
      <w:r>
        <w:rPr>
          <w:rFonts w:hint="eastAsia" w:ascii="仿宋_GB2312"/>
          <w:spacing w:val="0"/>
          <w:szCs w:val="32"/>
        </w:rPr>
        <w:t>提高守法</w:t>
      </w:r>
      <w:bookmarkStart w:id="0" w:name="_GoBack"/>
      <w:bookmarkEnd w:id="0"/>
      <w:r>
        <w:rPr>
          <w:rFonts w:hint="eastAsia" w:ascii="仿宋_GB2312"/>
          <w:spacing w:val="0"/>
          <w:szCs w:val="32"/>
        </w:rPr>
        <w:t>诚信意识</w:t>
      </w:r>
      <w:r>
        <w:rPr>
          <w:rFonts w:hint="eastAsia" w:ascii="仿宋_GB2312"/>
          <w:spacing w:val="0"/>
          <w:szCs w:val="32"/>
          <w:lang w:eastAsia="zh-CN"/>
        </w:rPr>
        <w:t>、</w:t>
      </w:r>
      <w:r>
        <w:rPr>
          <w:rFonts w:hint="eastAsia" w:ascii="仿宋_GB2312"/>
          <w:spacing w:val="0"/>
          <w:szCs w:val="32"/>
        </w:rPr>
        <w:t>落实企业分类监管</w:t>
      </w:r>
      <w:r>
        <w:rPr>
          <w:rFonts w:hint="eastAsia" w:ascii="仿宋_GB2312"/>
          <w:spacing w:val="0"/>
          <w:szCs w:val="32"/>
          <w:lang w:eastAsia="zh-CN"/>
        </w:rPr>
        <w:t>、</w:t>
      </w:r>
      <w:r>
        <w:rPr>
          <w:rFonts w:hint="eastAsia" w:ascii="仿宋_GB2312"/>
          <w:spacing w:val="0"/>
          <w:szCs w:val="32"/>
        </w:rPr>
        <w:t>维护劳动者合法权益,根据《劳动保障监察条例》（国务院令第423号）《企业劳动保障守法诚信等级评价办法》（人社部规﹝2016﹞1号）和《甘肃省企业劳动保障守法诚信等级评价实施办法》（甘人社通﹝2017﹞161号）等有关规定，</w:t>
      </w:r>
      <w:r>
        <w:rPr>
          <w:rFonts w:hint="eastAsia" w:ascii="仿宋_GB2312"/>
          <w:spacing w:val="0"/>
          <w:szCs w:val="32"/>
          <w:lang w:eastAsia="zh-CN"/>
        </w:rPr>
        <w:t>决定自通知印发之日起</w:t>
      </w:r>
      <w:r>
        <w:rPr>
          <w:rFonts w:hint="eastAsia" w:ascii="仿宋_GB2312"/>
          <w:spacing w:val="0"/>
          <w:szCs w:val="32"/>
        </w:rPr>
        <w:t>开展我县企业劳动保障守法诚信等级评价活动（以下</w:t>
      </w:r>
      <w:r>
        <w:rPr>
          <w:rFonts w:ascii="仿宋_GB2312"/>
          <w:spacing w:val="0"/>
          <w:szCs w:val="32"/>
        </w:rPr>
        <w:t>简称评价活动），</w:t>
      </w:r>
      <w:r>
        <w:rPr>
          <w:rFonts w:hint="eastAsia" w:ascii="仿宋_GB2312"/>
          <w:spacing w:val="0"/>
          <w:szCs w:val="32"/>
          <w:lang w:eastAsia="zh-CN"/>
        </w:rPr>
        <w:t>具体事项通知如下：</w:t>
      </w:r>
    </w:p>
    <w:p w14:paraId="07B8F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ascii="黑体" w:hAnsi="黑体" w:eastAsia="黑体"/>
          <w:bCs/>
          <w:spacing w:val="0"/>
          <w:szCs w:val="32"/>
        </w:rPr>
      </w:pPr>
      <w:r>
        <w:rPr>
          <w:rFonts w:hint="eastAsia" w:ascii="黑体" w:eastAsia="黑体"/>
          <w:spacing w:val="0"/>
          <w:szCs w:val="32"/>
        </w:rPr>
        <w:t>一、</w:t>
      </w:r>
      <w:r>
        <w:rPr>
          <w:rFonts w:hint="eastAsia" w:ascii="黑体" w:hAnsi="黑体" w:eastAsia="黑体"/>
          <w:bCs/>
          <w:spacing w:val="0"/>
          <w:szCs w:val="32"/>
        </w:rPr>
        <w:t>评价内容</w:t>
      </w:r>
    </w:p>
    <w:p w14:paraId="39AFE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企业劳动保障守法诚信等级评价主要内容包括：</w:t>
      </w:r>
    </w:p>
    <w:p w14:paraId="3FE2D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（一）制定内部劳动保障规章制度的情况；</w:t>
      </w:r>
    </w:p>
    <w:p w14:paraId="371A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（二）与劳动者订立劳动合同的情况；</w:t>
      </w:r>
    </w:p>
    <w:p w14:paraId="2FC2D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（三）遵守劳务派遣规定的情况；</w:t>
      </w:r>
    </w:p>
    <w:p w14:paraId="2E5A4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（四）遵守禁止使用童工规定的情况；</w:t>
      </w:r>
    </w:p>
    <w:p w14:paraId="13000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（五）遵守女职工和未成年工特殊劳动保护规定的情况；</w:t>
      </w:r>
    </w:p>
    <w:p w14:paraId="4A963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（六）遵守工作时间和休息休假规定的情况；</w:t>
      </w:r>
    </w:p>
    <w:p w14:paraId="6E394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（七）支付劳动者工资和执行最低工资标准的情况；</w:t>
      </w:r>
    </w:p>
    <w:p w14:paraId="72524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（八）参加各项社会保险和缴纳社会保险费的情况；</w:t>
      </w:r>
    </w:p>
    <w:p w14:paraId="2098A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/>
          <w:spacing w:val="0"/>
          <w:szCs w:val="32"/>
          <w:lang w:val="en-US" w:eastAsia="zh-CN"/>
        </w:rPr>
      </w:pPr>
      <w:r>
        <w:rPr>
          <w:rFonts w:hint="eastAsia" w:ascii="仿宋_GB2312"/>
          <w:spacing w:val="0"/>
          <w:szCs w:val="32"/>
        </w:rPr>
        <w:t>（九）其他遵守劳动保障法律、法规和规章的情况。</w:t>
      </w:r>
    </w:p>
    <w:p w14:paraId="1E826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黑体" w:hAnsi="黑体" w:eastAsia="黑体"/>
          <w:spacing w:val="0"/>
          <w:szCs w:val="32"/>
        </w:rPr>
      </w:pPr>
      <w:r>
        <w:rPr>
          <w:rFonts w:hint="eastAsia" w:ascii="黑体" w:hAnsi="黑体" w:eastAsia="黑体"/>
          <w:bCs/>
          <w:spacing w:val="0"/>
          <w:szCs w:val="32"/>
          <w:lang w:eastAsia="zh-CN"/>
        </w:rPr>
        <w:t>二</w:t>
      </w:r>
      <w:r>
        <w:rPr>
          <w:rFonts w:hint="eastAsia" w:ascii="黑体" w:hAnsi="黑体" w:eastAsia="黑体"/>
          <w:bCs/>
          <w:spacing w:val="0"/>
          <w:szCs w:val="32"/>
        </w:rPr>
        <w:t>、评价标准</w:t>
      </w:r>
    </w:p>
    <w:p w14:paraId="02A44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 w:val="32"/>
          <w:szCs w:val="32"/>
        </w:rPr>
        <w:t>企业劳动保障守法诚信等级划分为A、B、C三个等级</w:t>
      </w:r>
      <w:r>
        <w:rPr>
          <w:rFonts w:hint="eastAsia" w:ascii="仿宋_GB2312"/>
          <w:spacing w:val="0"/>
          <w:sz w:val="32"/>
          <w:szCs w:val="32"/>
          <w:lang w:eastAsia="zh-CN"/>
        </w:rPr>
        <w:t>，具体评价标准如下：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</w:t>
      </w:r>
      <w:r>
        <w:rPr>
          <w:rFonts w:hint="eastAsia" w:ascii="仿宋_GB2312"/>
          <w:spacing w:val="0"/>
          <w:szCs w:val="32"/>
        </w:rPr>
        <w:t>（一）企业遵守劳动保障法律、法规和规章，未因劳动保障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</w:rPr>
        <w:t>违法行为被查处的，评为A级。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</w:t>
      </w:r>
      <w:r>
        <w:rPr>
          <w:rFonts w:hint="eastAsia" w:ascii="仿宋_GB2312"/>
          <w:spacing w:val="0"/>
          <w:szCs w:val="32"/>
        </w:rPr>
        <w:t>（二）企业因劳动保障违法行为被查处，但不属于C级所列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</w:rPr>
        <w:t>情形的，评为B级。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</w:t>
      </w:r>
      <w:r>
        <w:rPr>
          <w:rFonts w:hint="eastAsia" w:ascii="仿宋_GB2312"/>
          <w:spacing w:val="0"/>
          <w:szCs w:val="32"/>
        </w:rPr>
        <w:t>（三）企业存在下列情形之一的，评为C级：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 </w:t>
      </w:r>
      <w:r>
        <w:rPr>
          <w:rFonts w:hint="eastAsia" w:ascii="仿宋_GB2312"/>
          <w:spacing w:val="0"/>
          <w:szCs w:val="32"/>
        </w:rPr>
        <w:t>1.因劳动保障违法行为被查处三次以上（含三次）的；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 </w:t>
      </w:r>
      <w:r>
        <w:rPr>
          <w:rFonts w:hint="eastAsia" w:ascii="仿宋_GB2312"/>
          <w:spacing w:val="0"/>
          <w:szCs w:val="32"/>
        </w:rPr>
        <w:t>2.因劳动保障违法行为引发群体性事件、极端事件或造成严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</w:rPr>
        <w:t>重不良社会影响的；</w:t>
      </w:r>
    </w:p>
    <w:p w14:paraId="6B807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3.因使用童工、强迫劳动等严重</w:t>
      </w:r>
      <w:r>
        <w:rPr>
          <w:rFonts w:hint="eastAsia" w:ascii="仿宋_GB2312"/>
          <w:spacing w:val="0"/>
          <w:szCs w:val="32"/>
          <w:lang w:eastAsia="zh-CN"/>
        </w:rPr>
        <w:t>违反</w:t>
      </w:r>
      <w:r>
        <w:rPr>
          <w:rFonts w:hint="eastAsia" w:ascii="仿宋_GB2312"/>
          <w:spacing w:val="0"/>
          <w:szCs w:val="32"/>
        </w:rPr>
        <w:t>劳动保障</w:t>
      </w:r>
      <w:r>
        <w:rPr>
          <w:rFonts w:hint="eastAsia" w:ascii="仿宋_GB2312"/>
          <w:spacing w:val="0"/>
          <w:szCs w:val="32"/>
          <w:lang w:eastAsia="zh-CN"/>
        </w:rPr>
        <w:t>法律法规</w:t>
      </w:r>
      <w:r>
        <w:rPr>
          <w:rFonts w:hint="eastAsia" w:ascii="仿宋_GB2312"/>
          <w:spacing w:val="0"/>
          <w:szCs w:val="32"/>
        </w:rPr>
        <w:t>被查处的；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 </w:t>
      </w:r>
      <w:r>
        <w:rPr>
          <w:rFonts w:hint="eastAsia" w:ascii="仿宋_GB2312"/>
          <w:spacing w:val="0"/>
          <w:szCs w:val="32"/>
        </w:rPr>
        <w:t>4.拒不履行劳动保障监察限期整改指令、行政处理决定或者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</w:rPr>
        <w:t>行政处罚决定的；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  <w:lang w:val="en-US" w:eastAsia="zh-CN"/>
        </w:rPr>
        <w:t xml:space="preserve">    </w:t>
      </w:r>
      <w:r>
        <w:rPr>
          <w:rFonts w:hint="eastAsia" w:ascii="仿宋_GB2312"/>
          <w:spacing w:val="0"/>
          <w:szCs w:val="32"/>
        </w:rPr>
        <w:t>5.无理抗拒、阻挠人力资源社会保障行政部门实施劳动保障</w:t>
      </w:r>
      <w:r>
        <w:rPr>
          <w:rFonts w:hint="eastAsia" w:ascii="仿宋_GB2312"/>
          <w:spacing w:val="0"/>
          <w:szCs w:val="32"/>
        </w:rPr>
        <w:br w:type="textWrapping"/>
      </w:r>
      <w:r>
        <w:rPr>
          <w:rFonts w:hint="eastAsia" w:ascii="仿宋_GB2312"/>
          <w:spacing w:val="0"/>
          <w:szCs w:val="32"/>
        </w:rPr>
        <w:t>监察的；</w:t>
      </w:r>
    </w:p>
    <w:p w14:paraId="59DE7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6.因劳动保障违法行为被追究刑事责任的;</w:t>
      </w:r>
    </w:p>
    <w:p w14:paraId="0C20B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7.骗取社会保险待遇或套取补助资金的;</w:t>
      </w:r>
    </w:p>
    <w:p w14:paraId="17569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8.因劳动保障违法行为被列入失信联合惩戒对象名单的;</w:t>
      </w:r>
    </w:p>
    <w:p w14:paraId="67C92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9.在工程建设领域，不按规定缴纳农民工工资保证金</w:t>
      </w:r>
      <w:r>
        <w:rPr>
          <w:rFonts w:hint="eastAsia" w:ascii="仿宋_GB2312"/>
          <w:spacing w:val="0"/>
          <w:szCs w:val="32"/>
          <w:lang w:eastAsia="zh-CN"/>
        </w:rPr>
        <w:t>、</w:t>
      </w:r>
      <w:r>
        <w:rPr>
          <w:rFonts w:hint="eastAsia" w:ascii="仿宋_GB2312"/>
          <w:spacing w:val="0"/>
          <w:szCs w:val="32"/>
        </w:rPr>
        <w:t>不按要求设立农民工工资专用账户</w:t>
      </w:r>
      <w:r>
        <w:rPr>
          <w:rFonts w:hint="eastAsia" w:ascii="仿宋_GB2312"/>
          <w:spacing w:val="0"/>
          <w:szCs w:val="32"/>
          <w:lang w:eastAsia="zh-CN"/>
        </w:rPr>
        <w:t>、</w:t>
      </w:r>
      <w:r>
        <w:rPr>
          <w:rFonts w:hint="eastAsia" w:ascii="仿宋_GB2312"/>
          <w:spacing w:val="0"/>
          <w:szCs w:val="32"/>
        </w:rPr>
        <w:t>不通过农民工工资专用账户及时足额支付农民工工资，经相关部门责令改正拒不改正的;</w:t>
      </w:r>
    </w:p>
    <w:p w14:paraId="5E98E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/>
          <w:spacing w:val="0"/>
          <w:szCs w:val="32"/>
        </w:rPr>
      </w:pPr>
      <w:r>
        <w:rPr>
          <w:rFonts w:hint="eastAsia" w:ascii="仿宋_GB2312"/>
          <w:spacing w:val="0"/>
          <w:szCs w:val="32"/>
        </w:rPr>
        <w:t>10.有其他重大劳动保障违法行为，情节严重</w:t>
      </w:r>
      <w:r>
        <w:rPr>
          <w:rFonts w:hint="eastAsia" w:ascii="仿宋_GB2312"/>
          <w:spacing w:val="0"/>
          <w:szCs w:val="32"/>
          <w:lang w:eastAsia="zh-CN"/>
        </w:rPr>
        <w:t>、</w:t>
      </w:r>
      <w:r>
        <w:rPr>
          <w:rFonts w:hint="eastAsia" w:ascii="仿宋_GB2312"/>
          <w:spacing w:val="0"/>
          <w:szCs w:val="32"/>
        </w:rPr>
        <w:t>影响恶劣的。</w:t>
      </w:r>
    </w:p>
    <w:p w14:paraId="1C4F8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eastAsia="黑体"/>
          <w:spacing w:val="0"/>
          <w:szCs w:val="32"/>
        </w:rPr>
      </w:pPr>
      <w:r>
        <w:rPr>
          <w:rFonts w:hint="eastAsia" w:ascii="黑体" w:eastAsia="黑体"/>
          <w:spacing w:val="0"/>
          <w:szCs w:val="32"/>
          <w:lang w:val="en-US" w:eastAsia="zh-CN"/>
        </w:rPr>
        <w:t>三</w:t>
      </w:r>
      <w:r>
        <w:rPr>
          <w:rFonts w:hint="eastAsia" w:ascii="黑体" w:eastAsia="黑体"/>
          <w:spacing w:val="0"/>
          <w:szCs w:val="32"/>
        </w:rPr>
        <w:t>、评价程序</w:t>
      </w:r>
    </w:p>
    <w:p w14:paraId="2BA3466F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eastAsia" w:ascii="仿宋_GB2312" w:eastAsia="仿宋_GB2312"/>
          <w:spacing w:val="0"/>
          <w:szCs w:val="32"/>
          <w:lang w:eastAsia="zh-CN"/>
        </w:rPr>
      </w:pPr>
      <w:r>
        <w:rPr>
          <w:rFonts w:hint="eastAsia" w:ascii="仿宋_GB2312"/>
          <w:spacing w:val="0"/>
          <w:szCs w:val="32"/>
        </w:rPr>
        <w:t>企业劳动保障守法诚信等级评价按如下程序进行</w:t>
      </w:r>
      <w:r>
        <w:rPr>
          <w:rFonts w:hint="eastAsia" w:ascii="仿宋_GB2312"/>
          <w:spacing w:val="0"/>
          <w:szCs w:val="32"/>
          <w:lang w:eastAsia="zh-CN"/>
        </w:rPr>
        <w:t>：</w:t>
      </w:r>
    </w:p>
    <w:p w14:paraId="6740E27F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0"/>
          <w:szCs w:val="32"/>
        </w:rPr>
      </w:pPr>
      <w:r>
        <w:rPr>
          <w:rFonts w:hint="eastAsia" w:ascii="楷体_GB2312" w:hAnsi="楷体_GB2312" w:eastAsia="楷体_GB2312" w:cs="楷体_GB2312"/>
          <w:spacing w:val="0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spacing w:val="0"/>
          <w:szCs w:val="32"/>
        </w:rPr>
        <w:t>自查申报。</w:t>
      </w:r>
      <w:r>
        <w:rPr>
          <w:rFonts w:hint="eastAsia" w:ascii="仿宋_GB2312" w:hAnsi="仿宋_GB2312" w:eastAsia="仿宋_GB2312" w:cs="仿宋_GB2312"/>
          <w:spacing w:val="0"/>
          <w:szCs w:val="32"/>
        </w:rPr>
        <w:t>用人单位对照诚信等级评价内容，全面梳理劳动用工资料，认真开展自查自纠，深入剖析存在的问题和隐患，填写《企业劳动保障守法诚信等级评价申报表》，</w:t>
      </w:r>
      <w:r>
        <w:rPr>
          <w:rFonts w:hint="eastAsia" w:ascii="仿宋_GB2312" w:hAnsi="仿宋_GB2312" w:cs="仿宋_GB2312"/>
          <w:spacing w:val="0"/>
          <w:szCs w:val="32"/>
          <w:lang w:eastAsia="zh-CN"/>
        </w:rPr>
        <w:t>并向县人社局进行申报</w:t>
      </w:r>
      <w:r>
        <w:rPr>
          <w:rFonts w:hint="eastAsia" w:ascii="仿宋_GB2312" w:hAnsi="仿宋_GB2312" w:eastAsia="仿宋_GB2312" w:cs="仿宋_GB2312"/>
          <w:spacing w:val="0"/>
          <w:szCs w:val="32"/>
        </w:rPr>
        <w:t>。</w:t>
      </w:r>
    </w:p>
    <w:p w14:paraId="4A0792FF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pacing w:val="0"/>
          <w:szCs w:val="32"/>
        </w:rPr>
      </w:pPr>
      <w:r>
        <w:rPr>
          <w:rFonts w:hint="eastAsia" w:ascii="仿宋_GB2312" w:hAnsi="仿宋_GB2312" w:cs="仿宋_GB2312"/>
          <w:spacing w:val="0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pacing w:val="0"/>
          <w:szCs w:val="32"/>
          <w:lang w:val="en-US" w:eastAsia="zh-CN"/>
        </w:rPr>
        <w:t>（二）核查复审阶段</w:t>
      </w:r>
      <w:r>
        <w:rPr>
          <w:rFonts w:hint="eastAsia" w:ascii="楷体_GB2312" w:hAnsi="楷体_GB2312" w:eastAsia="楷体_GB2312" w:cs="楷体_GB2312"/>
          <w:spacing w:val="0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0"/>
          <w:szCs w:val="32"/>
        </w:rPr>
        <w:t>县</w:t>
      </w:r>
      <w:r>
        <w:rPr>
          <w:rFonts w:hint="eastAsia" w:ascii="仿宋_GB2312" w:hAnsi="仿宋_GB2312" w:cs="仿宋_GB2312"/>
          <w:spacing w:val="0"/>
          <w:szCs w:val="32"/>
          <w:lang w:eastAsia="zh-CN"/>
        </w:rPr>
        <w:t>人社局</w:t>
      </w:r>
      <w:r>
        <w:rPr>
          <w:rFonts w:hint="eastAsia" w:ascii="仿宋_GB2312" w:hAnsi="仿宋_GB2312" w:eastAsia="仿宋_GB2312" w:cs="仿宋_GB2312"/>
          <w:spacing w:val="0"/>
          <w:szCs w:val="32"/>
        </w:rPr>
        <w:t>提出初评意见，经县评价领导小组初审，征求市场监管、住建</w:t>
      </w:r>
      <w:r>
        <w:rPr>
          <w:rFonts w:hint="eastAsia" w:ascii="仿宋_GB2312" w:hAnsi="仿宋_GB2312" w:cs="仿宋_GB2312"/>
          <w:spacing w:val="0"/>
          <w:szCs w:val="32"/>
          <w:lang w:eastAsia="zh-CN"/>
        </w:rPr>
        <w:t>、交通运输、水务</w:t>
      </w:r>
      <w:r>
        <w:rPr>
          <w:rFonts w:hint="eastAsia" w:ascii="仿宋_GB2312" w:hAnsi="仿宋_GB2312" w:eastAsia="仿宋_GB2312" w:cs="仿宋_GB2312"/>
          <w:spacing w:val="0"/>
          <w:szCs w:val="32"/>
        </w:rPr>
        <w:t>等相关单位和</w:t>
      </w:r>
      <w:r>
        <w:rPr>
          <w:rFonts w:hint="eastAsia" w:ascii="仿宋_GB2312" w:hAnsi="仿宋_GB2312" w:cs="仿宋_GB2312"/>
          <w:spacing w:val="0"/>
          <w:szCs w:val="32"/>
          <w:lang w:eastAsia="zh-CN"/>
        </w:rPr>
        <w:t>行</w:t>
      </w:r>
      <w:r>
        <w:rPr>
          <w:rFonts w:hint="eastAsia" w:ascii="仿宋_GB2312" w:hAnsi="仿宋_GB2312" w:eastAsia="仿宋_GB2312" w:cs="仿宋_GB2312"/>
          <w:spacing w:val="0"/>
          <w:szCs w:val="32"/>
        </w:rPr>
        <w:t>业主管部门意见后，报市评价领导小组复核复审。</w:t>
      </w:r>
    </w:p>
    <w:p w14:paraId="23F70D57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  <w:szCs w:val="32"/>
        </w:rPr>
        <w:t>（三）公布结果阶段。</w:t>
      </w:r>
      <w:r>
        <w:rPr>
          <w:rFonts w:hint="eastAsia" w:ascii="仿宋_GB2312" w:hAnsi="Calibri"/>
          <w:spacing w:val="0"/>
          <w:szCs w:val="32"/>
        </w:rPr>
        <w:t>根据市评</w:t>
      </w:r>
      <w:r>
        <w:rPr>
          <w:rFonts w:ascii="仿宋_GB2312"/>
          <w:spacing w:val="0"/>
          <w:szCs w:val="32"/>
        </w:rPr>
        <w:t>价领导小组</w:t>
      </w:r>
      <w:r>
        <w:rPr>
          <w:rFonts w:hint="eastAsia" w:ascii="仿宋_GB2312"/>
          <w:spacing w:val="0"/>
          <w:szCs w:val="32"/>
        </w:rPr>
        <w:t>评定结果，</w:t>
      </w:r>
      <w:r>
        <w:rPr>
          <w:rFonts w:ascii="仿宋_GB2312"/>
          <w:spacing w:val="0"/>
          <w:szCs w:val="32"/>
        </w:rPr>
        <w:t>在</w:t>
      </w:r>
      <w:r>
        <w:rPr>
          <w:rFonts w:hint="eastAsia" w:ascii="仿宋_GB2312"/>
          <w:spacing w:val="0"/>
          <w:szCs w:val="32"/>
        </w:rPr>
        <w:t>高台</w:t>
      </w:r>
      <w:r>
        <w:rPr>
          <w:rFonts w:ascii="仿宋_GB2312"/>
          <w:spacing w:val="0"/>
          <w:szCs w:val="32"/>
        </w:rPr>
        <w:t>县</w:t>
      </w:r>
      <w:r>
        <w:rPr>
          <w:rFonts w:hint="eastAsia" w:ascii="仿宋_GB2312"/>
          <w:spacing w:val="0"/>
          <w:szCs w:val="32"/>
        </w:rPr>
        <w:t>门户网站进行结果</w:t>
      </w:r>
      <w:r>
        <w:rPr>
          <w:rFonts w:ascii="仿宋_GB2312"/>
          <w:spacing w:val="0"/>
          <w:szCs w:val="32"/>
        </w:rPr>
        <w:t>公示</w:t>
      </w:r>
      <w:r>
        <w:rPr>
          <w:rFonts w:hint="eastAsia" w:ascii="仿宋_GB2312"/>
          <w:spacing w:val="0"/>
          <w:szCs w:val="32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</w:t>
      </w:r>
    </w:p>
    <w:p w14:paraId="43CB2705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仿宋_GB2312"/>
          <w:bCs/>
          <w:spacing w:val="0"/>
          <w:szCs w:val="32"/>
        </w:rPr>
      </w:pPr>
      <w:r>
        <w:rPr>
          <w:rFonts w:hint="eastAsia" w:ascii="黑体" w:hAnsi="黑体" w:eastAsia="黑体" w:cs="仿宋_GB2312"/>
          <w:bCs/>
          <w:spacing w:val="0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bCs/>
          <w:spacing w:val="0"/>
          <w:szCs w:val="32"/>
        </w:rPr>
        <w:t>、结果运用</w:t>
      </w:r>
    </w:p>
    <w:p w14:paraId="389CAF24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根据企业劳动保障守法诚信等级评价结果，对企业实行分类监管。</w:t>
      </w:r>
    </w:p>
    <w:p w14:paraId="56E5B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（一）对评为A级的企业，适当减少日常巡查检查频次，优先推荐参加评优、评先、评劳模等评比表彰活动。</w:t>
      </w:r>
    </w:p>
    <w:p w14:paraId="71A54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（二）对评为B级的企业，适当增加日常巡查检查频次，在推荐参加评优、评先、评劳模等评比表彰活动时将按照劳动保障书面审查标准进行审查，合格后予以出具相关证明。</w:t>
      </w:r>
    </w:p>
    <w:p w14:paraId="2F34752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三）对评为C级的企业，列入劳动保障监管重点对象，强化日常巡查检查力度，约谈其主要负责人、直接责任人，依法追究违反劳动保障法律法规、规章的责任并责令限期改正或予以行政处罚，相关信息及时向社会公布，在政府资金支持、政府采购、招投标、生产许可、履约担保、资质审核、融资贷款、市场准入、评优评先及公司上市等方面予以限制。将工程建设领域C级企业名单推送至行业主管部门，纳入其行业信用监管，依法依规予以限制。</w:t>
      </w:r>
    </w:p>
    <w:p w14:paraId="7136E1E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ascii="黑体" w:eastAsia="黑体"/>
          <w:spacing w:val="0"/>
          <w:szCs w:val="32"/>
        </w:rPr>
      </w:pPr>
      <w:r>
        <w:rPr>
          <w:rFonts w:hint="eastAsia" w:ascii="黑体" w:eastAsia="黑体"/>
          <w:spacing w:val="0"/>
          <w:szCs w:val="32"/>
          <w:lang w:eastAsia="zh-CN"/>
        </w:rPr>
        <w:t>五</w:t>
      </w:r>
      <w:r>
        <w:rPr>
          <w:rFonts w:hint="eastAsia" w:ascii="黑体" w:eastAsia="黑体"/>
          <w:spacing w:val="0"/>
          <w:szCs w:val="32"/>
        </w:rPr>
        <w:t>、工作要求</w:t>
      </w:r>
    </w:p>
    <w:p w14:paraId="7EF86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一）提高政治站位。各镇、各有关部门要立足构建和谐劳动关系、维护社会和谐稳定大局，深刻认识开展企业劳动保障守法诚信等级评价工作，加大评价办法及程序宣传力度，引导企业主动参与，营造“诚信守法光荣、违法失信可耻”的舆论环境，推动企业依法经营、规范用工。</w:t>
      </w:r>
    </w:p>
    <w:p w14:paraId="18130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二）严守评价准则。严格依照企业劳动保障守法诚信等级评价相关规定，秉持依法依规、公平公正的工作原则，精准把握等级评价标准，从严执行等级评价条件，切实保障评价结果质量。强化与公安、住房城乡建设、市场监管、工会、税务等部门的信息互通共享，加强系统内社会保险、就业服务等相关单位的协作配合，全面排查企业存在的问题及违法违规行为，做到不漏查、不姑息、不搞变通平衡，真正遴选出严格遵守劳动保障法律法规的诚信企业，确保评价结果客观公允、真实可信。</w:t>
      </w:r>
    </w:p>
    <w:p w14:paraId="07787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（三）健全诚信档案。以此次等级评价工作为契机，健全完善企业劳动保障守法诚信档案体系，及时将企业劳动保障守法诚信等级评价结果归入档案，档案留存期限不得少于3年。加快搭建企业劳动保障信息数据管理平台，针对不同信用等级的企业实施差异化、动态化监管，持续提升劳动保障监管工作质效。</w:t>
      </w:r>
    </w:p>
    <w:sectPr>
      <w:headerReference r:id="rId5" w:type="default"/>
      <w:footerReference r:id="rId6" w:type="default"/>
      <w:footerReference r:id="rId7" w:type="even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1004D">
    <w:pPr>
      <w:pStyle w:val="5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5779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372C583B">
                              <w:pPr>
                                <w:pStyle w:val="5"/>
                                <w:jc w:val="right"/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 11 -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27DDE8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5779"/>
                      <w:docPartObj>
                        <w:docPartGallery w:val="autotext"/>
                      </w:docPartObj>
                    </w:sdtPr>
                    <w:sdtContent>
                      <w:p w14:paraId="372C583B">
                        <w:pPr>
                          <w:pStyle w:val="5"/>
                          <w:jc w:val="right"/>
                        </w:pP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t xml:space="preserve"> 11 -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727DDE8B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674B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350369594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24727D41">
                              <w:pPr>
                                <w:pStyle w:val="5"/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80606D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50369594"/>
                      <w:docPartObj>
                        <w:docPartGallery w:val="autotext"/>
                      </w:docPartObj>
                    </w:sdtPr>
                    <w:sdtContent>
                      <w:p w14:paraId="24727D41">
                        <w:pPr>
                          <w:pStyle w:val="5"/>
                        </w:pP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280606D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3CC4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evenAndOddHeaders w:val="1"/>
  <w:drawingGridHorizontalSpacing w:val="154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MDA2NDVjYTgzOWE3ZGY4NDMyYzJlNjlkMWJjMDcifQ=="/>
  </w:docVars>
  <w:rsids>
    <w:rsidRoot w:val="65C653B6"/>
    <w:rsid w:val="0005653F"/>
    <w:rsid w:val="00545265"/>
    <w:rsid w:val="005F6743"/>
    <w:rsid w:val="00C30996"/>
    <w:rsid w:val="00F336CE"/>
    <w:rsid w:val="00F74AF9"/>
    <w:rsid w:val="02B45DBD"/>
    <w:rsid w:val="04BD2DFF"/>
    <w:rsid w:val="05687C34"/>
    <w:rsid w:val="05C0379E"/>
    <w:rsid w:val="05EF3F4F"/>
    <w:rsid w:val="05FE23E4"/>
    <w:rsid w:val="077E758F"/>
    <w:rsid w:val="07A9135B"/>
    <w:rsid w:val="09275953"/>
    <w:rsid w:val="09A26507"/>
    <w:rsid w:val="0C034E2C"/>
    <w:rsid w:val="0C1348B1"/>
    <w:rsid w:val="0CB63A21"/>
    <w:rsid w:val="0E0B0E8F"/>
    <w:rsid w:val="0E6F280B"/>
    <w:rsid w:val="0EF76D2F"/>
    <w:rsid w:val="120B0362"/>
    <w:rsid w:val="126B6705"/>
    <w:rsid w:val="12C336B9"/>
    <w:rsid w:val="13236ADC"/>
    <w:rsid w:val="13C94031"/>
    <w:rsid w:val="13DD7840"/>
    <w:rsid w:val="150554DE"/>
    <w:rsid w:val="15A81FFF"/>
    <w:rsid w:val="169750FC"/>
    <w:rsid w:val="175274FC"/>
    <w:rsid w:val="17727E64"/>
    <w:rsid w:val="17EAB027"/>
    <w:rsid w:val="187362AD"/>
    <w:rsid w:val="19687E48"/>
    <w:rsid w:val="1AA50062"/>
    <w:rsid w:val="1B4F6991"/>
    <w:rsid w:val="1D0E648F"/>
    <w:rsid w:val="1D6D7907"/>
    <w:rsid w:val="1DE04327"/>
    <w:rsid w:val="1DFD29A8"/>
    <w:rsid w:val="1F2A703F"/>
    <w:rsid w:val="1FFFAE33"/>
    <w:rsid w:val="210F4A2F"/>
    <w:rsid w:val="22772EE2"/>
    <w:rsid w:val="22D27A4E"/>
    <w:rsid w:val="236A2C45"/>
    <w:rsid w:val="248800BA"/>
    <w:rsid w:val="24A13B1D"/>
    <w:rsid w:val="253E2C8D"/>
    <w:rsid w:val="25623E27"/>
    <w:rsid w:val="26BF4D50"/>
    <w:rsid w:val="284A4556"/>
    <w:rsid w:val="28C82ADD"/>
    <w:rsid w:val="2AE10DAD"/>
    <w:rsid w:val="2BEE673D"/>
    <w:rsid w:val="2D895C3F"/>
    <w:rsid w:val="2EB67EB0"/>
    <w:rsid w:val="30720ABF"/>
    <w:rsid w:val="31EF12FC"/>
    <w:rsid w:val="35521C81"/>
    <w:rsid w:val="355762E2"/>
    <w:rsid w:val="355B45EC"/>
    <w:rsid w:val="360736D5"/>
    <w:rsid w:val="36E51ABB"/>
    <w:rsid w:val="36F257DF"/>
    <w:rsid w:val="37BC1633"/>
    <w:rsid w:val="37F47D49"/>
    <w:rsid w:val="389F7CA8"/>
    <w:rsid w:val="3DF063A8"/>
    <w:rsid w:val="3F285D83"/>
    <w:rsid w:val="3F583598"/>
    <w:rsid w:val="3F982986"/>
    <w:rsid w:val="3FB03366"/>
    <w:rsid w:val="3FBEC16A"/>
    <w:rsid w:val="409A0E65"/>
    <w:rsid w:val="41BE1ACF"/>
    <w:rsid w:val="427674AA"/>
    <w:rsid w:val="43356F9A"/>
    <w:rsid w:val="43BE2FE4"/>
    <w:rsid w:val="44463171"/>
    <w:rsid w:val="44521D6F"/>
    <w:rsid w:val="447D19F5"/>
    <w:rsid w:val="46765F66"/>
    <w:rsid w:val="47CD65AB"/>
    <w:rsid w:val="47F71F0A"/>
    <w:rsid w:val="494832D3"/>
    <w:rsid w:val="4A205CA7"/>
    <w:rsid w:val="4AA57D2E"/>
    <w:rsid w:val="4C982217"/>
    <w:rsid w:val="4D3A2315"/>
    <w:rsid w:val="4DA33807"/>
    <w:rsid w:val="4E3F14F0"/>
    <w:rsid w:val="517C59C3"/>
    <w:rsid w:val="521641B0"/>
    <w:rsid w:val="524A41DA"/>
    <w:rsid w:val="53E360B6"/>
    <w:rsid w:val="546E5404"/>
    <w:rsid w:val="54971412"/>
    <w:rsid w:val="54B85BC1"/>
    <w:rsid w:val="561B4C4F"/>
    <w:rsid w:val="58E16365"/>
    <w:rsid w:val="5AF0321E"/>
    <w:rsid w:val="5DC10EA2"/>
    <w:rsid w:val="5E8F7E99"/>
    <w:rsid w:val="5EE52032"/>
    <w:rsid w:val="5FF672CB"/>
    <w:rsid w:val="5FFCFB63"/>
    <w:rsid w:val="611C11E3"/>
    <w:rsid w:val="62024965"/>
    <w:rsid w:val="624224ED"/>
    <w:rsid w:val="62E165CA"/>
    <w:rsid w:val="63C416EC"/>
    <w:rsid w:val="64743CC4"/>
    <w:rsid w:val="653F697A"/>
    <w:rsid w:val="65C653B6"/>
    <w:rsid w:val="67361E69"/>
    <w:rsid w:val="683E6F6B"/>
    <w:rsid w:val="69562532"/>
    <w:rsid w:val="6B4414A9"/>
    <w:rsid w:val="6C3A079D"/>
    <w:rsid w:val="6D55427F"/>
    <w:rsid w:val="6EBDD15E"/>
    <w:rsid w:val="6EE3D118"/>
    <w:rsid w:val="6EFF0D8A"/>
    <w:rsid w:val="6F5E2E33"/>
    <w:rsid w:val="6FF3B198"/>
    <w:rsid w:val="71D015A7"/>
    <w:rsid w:val="728A7E58"/>
    <w:rsid w:val="7364544A"/>
    <w:rsid w:val="73F79713"/>
    <w:rsid w:val="741753FA"/>
    <w:rsid w:val="746A5998"/>
    <w:rsid w:val="746D3E19"/>
    <w:rsid w:val="74A80A2D"/>
    <w:rsid w:val="750D1C6D"/>
    <w:rsid w:val="75384431"/>
    <w:rsid w:val="76263271"/>
    <w:rsid w:val="76432944"/>
    <w:rsid w:val="777F3B0F"/>
    <w:rsid w:val="77A41227"/>
    <w:rsid w:val="79500012"/>
    <w:rsid w:val="79D03D9B"/>
    <w:rsid w:val="7A5236CA"/>
    <w:rsid w:val="7A682F9F"/>
    <w:rsid w:val="7A7A5DBD"/>
    <w:rsid w:val="7AA22D10"/>
    <w:rsid w:val="7B7B1CB4"/>
    <w:rsid w:val="7C5B1A52"/>
    <w:rsid w:val="7E7A5951"/>
    <w:rsid w:val="7EE12786"/>
    <w:rsid w:val="7EEC216D"/>
    <w:rsid w:val="7FCB4F12"/>
    <w:rsid w:val="AF7C790D"/>
    <w:rsid w:val="B47C05D2"/>
    <w:rsid w:val="BCFD9C26"/>
    <w:rsid w:val="BF787D4D"/>
    <w:rsid w:val="DD7AA98B"/>
    <w:rsid w:val="DDFB7C24"/>
    <w:rsid w:val="E6CF0EDB"/>
    <w:rsid w:val="EB67DCD0"/>
    <w:rsid w:val="EBBB47ED"/>
    <w:rsid w:val="EDBF5660"/>
    <w:rsid w:val="EDFFD226"/>
    <w:rsid w:val="F7D49382"/>
    <w:rsid w:val="FD7DE457"/>
    <w:rsid w:val="FF7FE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semiHidden/>
    <w:unhideWhenUsed/>
    <w:qFormat/>
    <w:uiPriority w:val="99"/>
    <w:pPr>
      <w:ind w:left="1000" w:leftChars="10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qFormat/>
    <w:uiPriority w:val="99"/>
    <w:pPr>
      <w:spacing w:line="480" w:lineRule="auto"/>
      <w:ind w:left="420" w:leftChars="200"/>
    </w:pPr>
  </w:style>
  <w:style w:type="paragraph" w:styleId="5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Body Text First Indent 2"/>
    <w:basedOn w:val="3"/>
    <w:qFormat/>
    <w:uiPriority w:val="0"/>
    <w:rPr>
      <w:rFonts w:ascii="Calibri" w:hAnsi="Calibri"/>
      <w:szCs w:val="2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qFormat/>
    <w:uiPriority w:val="0"/>
    <w:rPr>
      <w:color w:val="000000"/>
      <w:u w:val="none"/>
    </w:rPr>
  </w:style>
  <w:style w:type="character" w:styleId="12">
    <w:name w:val="Hyperlink"/>
    <w:basedOn w:val="10"/>
    <w:autoRedefine/>
    <w:qFormat/>
    <w:uiPriority w:val="0"/>
    <w:rPr>
      <w:color w:val="000000"/>
      <w:u w:val="none"/>
    </w:rPr>
  </w:style>
  <w:style w:type="paragraph" w:customStyle="1" w:styleId="13">
    <w:name w:val="p0"/>
    <w:basedOn w:val="1"/>
    <w:autoRedefine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spacing w:val="0"/>
      <w:kern w:val="0"/>
      <w:sz w:val="24"/>
      <w:szCs w:val="24"/>
    </w:rPr>
  </w:style>
  <w:style w:type="character" w:customStyle="1" w:styleId="14">
    <w:name w:val="first-child"/>
    <w:basedOn w:val="10"/>
    <w:autoRedefine/>
    <w:qFormat/>
    <w:uiPriority w:val="0"/>
  </w:style>
  <w:style w:type="character" w:customStyle="1" w:styleId="15">
    <w:name w:val="first-child1"/>
    <w:basedOn w:val="10"/>
    <w:autoRedefine/>
    <w:qFormat/>
    <w:uiPriority w:val="0"/>
  </w:style>
  <w:style w:type="character" w:customStyle="1" w:styleId="16">
    <w:name w:val="on"/>
    <w:basedOn w:val="10"/>
    <w:autoRedefine/>
    <w:qFormat/>
    <w:uiPriority w:val="0"/>
    <w:rPr>
      <w:color w:val="C40001"/>
    </w:rPr>
  </w:style>
  <w:style w:type="character" w:customStyle="1" w:styleId="17">
    <w:name w:val="bar"/>
    <w:basedOn w:val="10"/>
    <w:autoRedefine/>
    <w:qFormat/>
    <w:uiPriority w:val="0"/>
  </w:style>
  <w:style w:type="character" w:customStyle="1" w:styleId="18">
    <w:name w:val="on1"/>
    <w:basedOn w:val="10"/>
    <w:autoRedefine/>
    <w:qFormat/>
    <w:uiPriority w:val="0"/>
    <w:rPr>
      <w:color w:val="C40001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0">
    <w:name w:val="页脚 Char"/>
    <w:basedOn w:val="10"/>
    <w:link w:val="5"/>
    <w:qFormat/>
    <w:uiPriority w:val="99"/>
    <w:rPr>
      <w:rFonts w:eastAsia="仿宋_GB2312"/>
      <w:spacing w:val="-6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1994</Words>
  <Characters>2015</Characters>
  <Lines>29</Lines>
  <Paragraphs>8</Paragraphs>
  <TotalTime>4</TotalTime>
  <ScaleCrop>false</ScaleCrop>
  <LinksUpToDate>false</LinksUpToDate>
  <CharactersWithSpaces>2048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2024-03-13T00:25:00Z</dcterms:created>
  <dc:creator>Administrator</dc:creator>
  <cp:lastModifiedBy>奚泽</cp:lastModifiedBy>
  <cp:lastPrinted>2025-03-06T06:57:00Z</cp:lastPrinted>
  <dcterms:modified xsi:type="dcterms:W3CDTF">2026-09-03T03:53:27Z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99A6A383016FCEFBF33DA96935F39DA2_43</vt:lpwstr>
  </property>
  <property fmtid="{D5CDD505-2E9C-101B-9397-08002B2CF9AE}" pid="4" name="KSOTemplateDocerSaveRecord">
    <vt:lpwstr>eyJoZGlkIjoiOTc2YjU3Zjg2NWUwNWZlMmNmMmNmOTdiZjI3YTc3YzQiLCJ1c2VySWQiOiIyNDk4NTcwNDcifQ==</vt:lpwstr>
  </property>
</Properties>
</file>